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E5985" w14:textId="77777777" w:rsidR="00F741E6" w:rsidRDefault="00967291">
      <w:pPr>
        <w:jc w:val="center"/>
        <w:rPr>
          <w:rFonts w:ascii="Rockwell" w:eastAsia="Times New Roman" w:hAnsi="Rockwell" w:cs="Times New Roman"/>
          <w:color w:val="333333"/>
          <w:szCs w:val="22"/>
          <w:lang w:eastAsia="en-GB"/>
        </w:rPr>
      </w:pPr>
      <w:r>
        <w:rPr>
          <w:noProof/>
        </w:rPr>
        <w:drawing>
          <wp:inline distT="0" distB="0" distL="0" distR="0" wp14:anchorId="6A8513CF" wp14:editId="0E55D122">
            <wp:extent cx="5429250" cy="2159000"/>
            <wp:effectExtent l="0" t="0" r="0" b="0"/>
            <wp:docPr id="1" name="Picture 1" descr="C:\Users\Maggie.Kyprianides\Desktop\DCE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gie.Kyprianides\Desktop\DCEA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2159000"/>
                    </a:xfrm>
                    <a:prstGeom prst="rect">
                      <a:avLst/>
                    </a:prstGeom>
                    <a:noFill/>
                    <a:ln>
                      <a:noFill/>
                    </a:ln>
                  </pic:spPr>
                </pic:pic>
              </a:graphicData>
            </a:graphic>
          </wp:inline>
        </w:drawing>
      </w:r>
    </w:p>
    <w:p w14:paraId="7CFCF823" w14:textId="77777777" w:rsidR="00F741E6" w:rsidRDefault="00F741E6">
      <w:pPr>
        <w:pStyle w:val="Default"/>
        <w:spacing w:before="120" w:after="120"/>
        <w:jc w:val="both"/>
        <w:rPr>
          <w:rFonts w:ascii="Rockwell" w:eastAsia="Times New Roman" w:hAnsi="Rockwell" w:cs="Times New Roman"/>
          <w:color w:val="333333"/>
          <w:sz w:val="22"/>
          <w:szCs w:val="22"/>
        </w:rPr>
      </w:pPr>
    </w:p>
    <w:p w14:paraId="0FC85918" w14:textId="77777777" w:rsidR="00F741E6" w:rsidRDefault="00F741E6">
      <w:pPr>
        <w:pStyle w:val="Default"/>
        <w:spacing w:before="120" w:after="120"/>
        <w:jc w:val="both"/>
        <w:rPr>
          <w:rFonts w:ascii="Rockwell" w:eastAsia="Times New Roman" w:hAnsi="Rockwell" w:cs="Times New Roman"/>
          <w:color w:val="333333"/>
          <w:sz w:val="22"/>
          <w:szCs w:val="22"/>
        </w:rPr>
      </w:pPr>
    </w:p>
    <w:p w14:paraId="140EA34C" w14:textId="77777777" w:rsidR="00F741E6" w:rsidRDefault="00F741E6">
      <w:pPr>
        <w:pStyle w:val="Default"/>
        <w:spacing w:before="120" w:after="120"/>
        <w:jc w:val="both"/>
        <w:rPr>
          <w:rFonts w:ascii="Rockwell" w:eastAsia="Times New Roman" w:hAnsi="Rockwell" w:cs="Times New Roman"/>
          <w:color w:val="333333"/>
          <w:sz w:val="22"/>
          <w:szCs w:val="22"/>
        </w:rPr>
      </w:pPr>
    </w:p>
    <w:p w14:paraId="109B4938" w14:textId="77777777" w:rsidR="00F741E6" w:rsidRDefault="00F741E6">
      <w:pPr>
        <w:pStyle w:val="Default"/>
        <w:spacing w:before="120" w:after="120"/>
        <w:jc w:val="both"/>
        <w:rPr>
          <w:rFonts w:ascii="Rockwell" w:eastAsia="Times New Roman" w:hAnsi="Rockwell" w:cs="Times New Roman"/>
          <w:color w:val="333333"/>
          <w:sz w:val="22"/>
          <w:szCs w:val="22"/>
        </w:rPr>
      </w:pPr>
    </w:p>
    <w:p w14:paraId="30549C12" w14:textId="77777777" w:rsidR="00F741E6" w:rsidRDefault="00F741E6">
      <w:pPr>
        <w:pStyle w:val="Default"/>
        <w:spacing w:before="120" w:after="120"/>
        <w:jc w:val="both"/>
        <w:rPr>
          <w:rFonts w:ascii="Rockwell" w:eastAsia="Times New Roman" w:hAnsi="Rockwell" w:cs="Times New Roman"/>
          <w:color w:val="333333"/>
          <w:sz w:val="22"/>
          <w:szCs w:val="22"/>
        </w:rPr>
      </w:pPr>
    </w:p>
    <w:p w14:paraId="38F43741" w14:textId="77777777" w:rsidR="00F741E6" w:rsidRDefault="00F741E6">
      <w:pPr>
        <w:spacing w:after="120"/>
        <w:rPr>
          <w:rFonts w:cs="Tahoma"/>
          <w:b/>
          <w:color w:val="003399"/>
          <w:sz w:val="72"/>
          <w:szCs w:val="72"/>
        </w:rPr>
      </w:pPr>
    </w:p>
    <w:p w14:paraId="0BF894DA" w14:textId="77777777" w:rsidR="00F741E6" w:rsidRDefault="00967291">
      <w:pPr>
        <w:spacing w:after="120"/>
        <w:jc w:val="center"/>
        <w:rPr>
          <w:rFonts w:cs="Tahoma"/>
          <w:b/>
          <w:color w:val="003399"/>
          <w:sz w:val="72"/>
          <w:szCs w:val="72"/>
        </w:rPr>
      </w:pPr>
      <w:r>
        <w:rPr>
          <w:rFonts w:cs="Tahoma"/>
          <w:b/>
          <w:color w:val="003399"/>
          <w:sz w:val="72"/>
          <w:szCs w:val="72"/>
        </w:rPr>
        <w:t>Escalation Process</w:t>
      </w:r>
    </w:p>
    <w:p w14:paraId="5A7339AC" w14:textId="77777777" w:rsidR="00F741E6" w:rsidRDefault="00F741E6">
      <w:pPr>
        <w:autoSpaceDE w:val="0"/>
        <w:autoSpaceDN w:val="0"/>
        <w:adjustRightInd w:val="0"/>
        <w:spacing w:line="276" w:lineRule="auto"/>
      </w:pPr>
    </w:p>
    <w:p w14:paraId="11786A75" w14:textId="77777777" w:rsidR="00F741E6" w:rsidRDefault="00F741E6">
      <w:pPr>
        <w:autoSpaceDE w:val="0"/>
        <w:autoSpaceDN w:val="0"/>
        <w:adjustRightInd w:val="0"/>
        <w:spacing w:line="276" w:lineRule="auto"/>
      </w:pPr>
    </w:p>
    <w:p w14:paraId="5398BE5A" w14:textId="77777777" w:rsidR="00F741E6" w:rsidRDefault="00F741E6">
      <w:pPr>
        <w:autoSpaceDE w:val="0"/>
        <w:autoSpaceDN w:val="0"/>
        <w:adjustRightInd w:val="0"/>
        <w:spacing w:line="276" w:lineRule="auto"/>
      </w:pPr>
    </w:p>
    <w:p w14:paraId="25CB7736" w14:textId="77777777" w:rsidR="00F741E6" w:rsidRDefault="00F741E6">
      <w:pPr>
        <w:autoSpaceDE w:val="0"/>
        <w:autoSpaceDN w:val="0"/>
        <w:adjustRightInd w:val="0"/>
        <w:spacing w:line="276" w:lineRule="auto"/>
      </w:pPr>
    </w:p>
    <w:p w14:paraId="09A91768" w14:textId="77777777" w:rsidR="00F741E6" w:rsidRDefault="00F741E6">
      <w:pPr>
        <w:autoSpaceDE w:val="0"/>
        <w:autoSpaceDN w:val="0"/>
        <w:adjustRightInd w:val="0"/>
        <w:spacing w:line="276" w:lineRule="auto"/>
      </w:pPr>
    </w:p>
    <w:p w14:paraId="36F39A84" w14:textId="77777777" w:rsidR="00F741E6" w:rsidRDefault="00F741E6">
      <w:pPr>
        <w:autoSpaceDE w:val="0"/>
        <w:autoSpaceDN w:val="0"/>
        <w:adjustRightInd w:val="0"/>
        <w:spacing w:line="276" w:lineRule="auto"/>
      </w:pPr>
    </w:p>
    <w:p w14:paraId="3A7B9A76" w14:textId="77777777" w:rsidR="00F741E6" w:rsidRDefault="00F741E6">
      <w:pPr>
        <w:autoSpaceDE w:val="0"/>
        <w:autoSpaceDN w:val="0"/>
        <w:adjustRightInd w:val="0"/>
        <w:spacing w:line="276" w:lineRule="auto"/>
      </w:pPr>
    </w:p>
    <w:p w14:paraId="32E178E9" w14:textId="77777777" w:rsidR="00F741E6" w:rsidRDefault="00F741E6">
      <w:pPr>
        <w:autoSpaceDE w:val="0"/>
        <w:autoSpaceDN w:val="0"/>
        <w:adjustRightInd w:val="0"/>
        <w:spacing w:line="276" w:lineRule="auto"/>
      </w:pPr>
    </w:p>
    <w:p w14:paraId="0EE84688" w14:textId="77777777" w:rsidR="00F741E6" w:rsidRDefault="00F741E6">
      <w:pPr>
        <w:autoSpaceDE w:val="0"/>
        <w:autoSpaceDN w:val="0"/>
        <w:adjustRightInd w:val="0"/>
        <w:spacing w:line="276" w:lineRule="auto"/>
      </w:pPr>
    </w:p>
    <w:p w14:paraId="7FE6989C" w14:textId="77777777" w:rsidR="00F741E6" w:rsidRDefault="00F741E6">
      <w:pPr>
        <w:autoSpaceDE w:val="0"/>
        <w:autoSpaceDN w:val="0"/>
        <w:adjustRightInd w:val="0"/>
        <w:spacing w:line="276" w:lineRule="auto"/>
      </w:pPr>
    </w:p>
    <w:p w14:paraId="4C798445" w14:textId="77777777" w:rsidR="00F741E6" w:rsidRDefault="00F741E6">
      <w:pPr>
        <w:autoSpaceDE w:val="0"/>
        <w:autoSpaceDN w:val="0"/>
        <w:adjustRightInd w:val="0"/>
        <w:spacing w:line="276" w:lineRule="auto"/>
      </w:pPr>
    </w:p>
    <w:p w14:paraId="6CD41E9C" w14:textId="77777777" w:rsidR="00F741E6" w:rsidRDefault="00F741E6">
      <w:pPr>
        <w:autoSpaceDE w:val="0"/>
        <w:autoSpaceDN w:val="0"/>
        <w:adjustRightInd w:val="0"/>
        <w:spacing w:line="276" w:lineRule="auto"/>
      </w:pPr>
    </w:p>
    <w:p w14:paraId="20A734D2" w14:textId="77777777" w:rsidR="00F741E6" w:rsidRDefault="00F741E6">
      <w:pPr>
        <w:autoSpaceDE w:val="0"/>
        <w:autoSpaceDN w:val="0"/>
        <w:adjustRightInd w:val="0"/>
        <w:spacing w:line="276" w:lineRule="auto"/>
      </w:pPr>
    </w:p>
    <w:p w14:paraId="49A2105D" w14:textId="77777777" w:rsidR="00F741E6" w:rsidRDefault="00F741E6">
      <w:pPr>
        <w:autoSpaceDE w:val="0"/>
        <w:autoSpaceDN w:val="0"/>
        <w:adjustRightInd w:val="0"/>
        <w:spacing w:line="276" w:lineRule="auto"/>
      </w:pPr>
    </w:p>
    <w:p w14:paraId="695AA2D7" w14:textId="77777777" w:rsidR="00F741E6" w:rsidRDefault="00967291">
      <w:pPr>
        <w:autoSpaceDE w:val="0"/>
        <w:autoSpaceDN w:val="0"/>
        <w:adjustRightInd w:val="0"/>
        <w:spacing w:line="276" w:lineRule="auto"/>
        <w:jc w:val="both"/>
        <w:rPr>
          <w:sz w:val="24"/>
        </w:rPr>
      </w:pPr>
      <w:r>
        <w:rPr>
          <w:sz w:val="24"/>
        </w:rPr>
        <w:t>Date:   September 2023</w:t>
      </w:r>
    </w:p>
    <w:p w14:paraId="5525F0E4" w14:textId="77777777" w:rsidR="00F741E6" w:rsidRDefault="00967291">
      <w:pPr>
        <w:autoSpaceDE w:val="0"/>
        <w:autoSpaceDN w:val="0"/>
        <w:adjustRightInd w:val="0"/>
        <w:spacing w:line="276" w:lineRule="auto"/>
        <w:jc w:val="both"/>
        <w:rPr>
          <w:sz w:val="24"/>
        </w:rPr>
      </w:pPr>
      <w:r>
        <w:rPr>
          <w:sz w:val="24"/>
        </w:rPr>
        <w:t>Review:  September 2024</w:t>
      </w:r>
    </w:p>
    <w:p w14:paraId="2B972C0D" w14:textId="77777777" w:rsidR="00F741E6" w:rsidRDefault="00F741E6">
      <w:pPr>
        <w:autoSpaceDE w:val="0"/>
        <w:autoSpaceDN w:val="0"/>
        <w:adjustRightInd w:val="0"/>
        <w:spacing w:line="276" w:lineRule="auto"/>
      </w:pPr>
    </w:p>
    <w:p w14:paraId="6181C4AA" w14:textId="77777777" w:rsidR="00F741E6" w:rsidRDefault="00F741E6">
      <w:pPr>
        <w:autoSpaceDE w:val="0"/>
        <w:autoSpaceDN w:val="0"/>
        <w:adjustRightInd w:val="0"/>
        <w:spacing w:line="276" w:lineRule="auto"/>
      </w:pPr>
    </w:p>
    <w:p w14:paraId="4A6294B5" w14:textId="77777777" w:rsidR="00F741E6" w:rsidRDefault="00F741E6">
      <w:pPr>
        <w:autoSpaceDE w:val="0"/>
        <w:autoSpaceDN w:val="0"/>
        <w:adjustRightInd w:val="0"/>
        <w:spacing w:line="276" w:lineRule="auto"/>
      </w:pPr>
    </w:p>
    <w:p w14:paraId="42EFD39F" w14:textId="77777777" w:rsidR="00F741E6" w:rsidRDefault="00F741E6">
      <w:pPr>
        <w:autoSpaceDE w:val="0"/>
        <w:autoSpaceDN w:val="0"/>
        <w:adjustRightInd w:val="0"/>
        <w:spacing w:line="276" w:lineRule="auto"/>
      </w:pPr>
    </w:p>
    <w:p w14:paraId="05965BDF" w14:textId="77777777" w:rsidR="00F741E6" w:rsidRDefault="00F741E6">
      <w:pPr>
        <w:autoSpaceDE w:val="0"/>
        <w:autoSpaceDN w:val="0"/>
        <w:adjustRightInd w:val="0"/>
        <w:spacing w:line="276" w:lineRule="auto"/>
      </w:pPr>
    </w:p>
    <w:p w14:paraId="744F3D12" w14:textId="77777777" w:rsidR="00F741E6" w:rsidRDefault="00F741E6">
      <w:pPr>
        <w:autoSpaceDE w:val="0"/>
        <w:autoSpaceDN w:val="0"/>
        <w:adjustRightInd w:val="0"/>
        <w:spacing w:line="276" w:lineRule="auto"/>
      </w:pPr>
    </w:p>
    <w:p w14:paraId="1EE6CB2F" w14:textId="77777777" w:rsidR="00F741E6" w:rsidRDefault="00F741E6">
      <w:pPr>
        <w:autoSpaceDE w:val="0"/>
        <w:autoSpaceDN w:val="0"/>
        <w:adjustRightInd w:val="0"/>
        <w:spacing w:line="276" w:lineRule="auto"/>
      </w:pPr>
    </w:p>
    <w:p w14:paraId="170D966E" w14:textId="77777777" w:rsidR="00F741E6" w:rsidRDefault="00F741E6">
      <w:pPr>
        <w:autoSpaceDE w:val="0"/>
        <w:autoSpaceDN w:val="0"/>
        <w:adjustRightInd w:val="0"/>
        <w:spacing w:line="276" w:lineRule="auto"/>
      </w:pPr>
    </w:p>
    <w:p w14:paraId="7F50B0F4" w14:textId="77777777" w:rsidR="00F741E6" w:rsidRDefault="00F741E6">
      <w:pPr>
        <w:autoSpaceDE w:val="0"/>
        <w:autoSpaceDN w:val="0"/>
        <w:adjustRightInd w:val="0"/>
        <w:spacing w:line="276" w:lineRule="auto"/>
      </w:pPr>
    </w:p>
    <w:p w14:paraId="55A18D48" w14:textId="77777777" w:rsidR="00F741E6" w:rsidRDefault="00F741E6">
      <w:pPr>
        <w:autoSpaceDE w:val="0"/>
        <w:autoSpaceDN w:val="0"/>
        <w:adjustRightInd w:val="0"/>
        <w:spacing w:line="276" w:lineRule="auto"/>
      </w:pPr>
    </w:p>
    <w:p w14:paraId="31B5DAC0" w14:textId="77777777" w:rsidR="00F741E6" w:rsidRDefault="00F741E6">
      <w:pPr>
        <w:autoSpaceDE w:val="0"/>
        <w:autoSpaceDN w:val="0"/>
        <w:adjustRightInd w:val="0"/>
        <w:spacing w:line="276" w:lineRule="auto"/>
      </w:pPr>
    </w:p>
    <w:p w14:paraId="2895B831" w14:textId="77777777" w:rsidR="00F741E6" w:rsidRDefault="00967291">
      <w:pPr>
        <w:pStyle w:val="Headinglevel1"/>
        <w:spacing w:line="276" w:lineRule="auto"/>
        <w:rPr>
          <w:szCs w:val="24"/>
        </w:rPr>
      </w:pPr>
      <w:bookmarkStart w:id="0" w:name="_Toc115101683"/>
      <w:r>
        <w:rPr>
          <w:szCs w:val="24"/>
        </w:rPr>
        <w:t>Key staff involved in the policy</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109"/>
        <w:gridCol w:w="6834"/>
      </w:tblGrid>
      <w:tr w:rsidR="00F741E6" w14:paraId="223F16D0" w14:textId="77777777" w:rsidTr="0CE60456">
        <w:tc>
          <w:tcPr>
            <w:tcW w:w="3109" w:type="dxa"/>
            <w:shd w:val="clear" w:color="auto" w:fill="D5DCE4" w:themeFill="text2" w:themeFillTint="33"/>
          </w:tcPr>
          <w:p w14:paraId="12C7EB5F" w14:textId="77777777" w:rsidR="00F741E6" w:rsidRDefault="00967291">
            <w:pPr>
              <w:spacing w:before="120" w:after="120"/>
              <w:jc w:val="both"/>
              <w:rPr>
                <w:rFonts w:cs="Tahoma"/>
                <w:bCs/>
              </w:rPr>
            </w:pPr>
            <w:r>
              <w:rPr>
                <w:rFonts w:cs="Tahoma"/>
                <w:bCs/>
              </w:rPr>
              <w:t>Role</w:t>
            </w:r>
          </w:p>
        </w:tc>
        <w:tc>
          <w:tcPr>
            <w:tcW w:w="6834" w:type="dxa"/>
            <w:shd w:val="clear" w:color="auto" w:fill="D5DCE4" w:themeFill="text2" w:themeFillTint="33"/>
          </w:tcPr>
          <w:p w14:paraId="1A9D5E80" w14:textId="77777777" w:rsidR="00F741E6" w:rsidRDefault="00967291">
            <w:pPr>
              <w:spacing w:before="120" w:after="120"/>
              <w:jc w:val="both"/>
              <w:rPr>
                <w:rFonts w:cs="Tahoma"/>
                <w:bCs/>
              </w:rPr>
            </w:pPr>
            <w:r>
              <w:rPr>
                <w:rFonts w:cs="Tahoma"/>
                <w:bCs/>
              </w:rPr>
              <w:t>Name(s)</w:t>
            </w:r>
          </w:p>
        </w:tc>
      </w:tr>
      <w:tr w:rsidR="00F741E6" w14:paraId="17B7BBA2" w14:textId="77777777" w:rsidTr="0CE60456">
        <w:tc>
          <w:tcPr>
            <w:tcW w:w="3109" w:type="dxa"/>
          </w:tcPr>
          <w:p w14:paraId="695AF9E2" w14:textId="77777777" w:rsidR="00F741E6" w:rsidRDefault="00967291">
            <w:pPr>
              <w:spacing w:before="120" w:after="120"/>
              <w:jc w:val="both"/>
              <w:rPr>
                <w:rFonts w:cs="Tahoma"/>
              </w:rPr>
            </w:pPr>
            <w:r>
              <w:rPr>
                <w:rFonts w:cs="Tahoma"/>
              </w:rPr>
              <w:t>Head of Centre</w:t>
            </w:r>
          </w:p>
        </w:tc>
        <w:tc>
          <w:tcPr>
            <w:tcW w:w="6834" w:type="dxa"/>
          </w:tcPr>
          <w:p w14:paraId="62314883" w14:textId="77777777" w:rsidR="00F741E6" w:rsidRDefault="00967291">
            <w:pPr>
              <w:spacing w:before="120" w:after="120"/>
              <w:jc w:val="both"/>
              <w:rPr>
                <w:rFonts w:cs="Tahoma"/>
                <w:bCs/>
              </w:rPr>
            </w:pPr>
            <w:r>
              <w:rPr>
                <w:rFonts w:cs="Tahoma"/>
              </w:rPr>
              <w:t>Kelly Osborne-James</w:t>
            </w:r>
          </w:p>
        </w:tc>
      </w:tr>
      <w:tr w:rsidR="00F741E6" w14:paraId="49648E3E" w14:textId="77777777" w:rsidTr="0CE60456">
        <w:tc>
          <w:tcPr>
            <w:tcW w:w="3109" w:type="dxa"/>
          </w:tcPr>
          <w:p w14:paraId="7EA5FADB" w14:textId="5A43AE6D" w:rsidR="00F741E6" w:rsidRDefault="00967291">
            <w:pPr>
              <w:spacing w:before="120" w:after="120"/>
              <w:jc w:val="both"/>
              <w:rPr>
                <w:rFonts w:cs="Tahoma"/>
              </w:rPr>
            </w:pPr>
            <w:r>
              <w:rPr>
                <w:rFonts w:cs="Tahoma"/>
              </w:rPr>
              <w:t xml:space="preserve">Exams </w:t>
            </w:r>
            <w:r w:rsidR="00227109">
              <w:rPr>
                <w:rFonts w:cs="Tahoma"/>
              </w:rPr>
              <w:t xml:space="preserve">Officer </w:t>
            </w:r>
          </w:p>
        </w:tc>
        <w:tc>
          <w:tcPr>
            <w:tcW w:w="6834" w:type="dxa"/>
          </w:tcPr>
          <w:p w14:paraId="4095AEED" w14:textId="6975251C" w:rsidR="00F741E6" w:rsidRDefault="00227109" w:rsidP="0CE60456">
            <w:pPr>
              <w:spacing w:before="120" w:after="120"/>
              <w:jc w:val="both"/>
              <w:rPr>
                <w:rFonts w:cs="Tahoma"/>
              </w:rPr>
            </w:pPr>
            <w:r>
              <w:rPr>
                <w:rFonts w:cs="Tahoma"/>
              </w:rPr>
              <w:t>Ruth Halsall</w:t>
            </w:r>
          </w:p>
        </w:tc>
      </w:tr>
      <w:tr w:rsidR="00F741E6" w14:paraId="0CDFCFE1" w14:textId="77777777" w:rsidTr="0CE60456">
        <w:tc>
          <w:tcPr>
            <w:tcW w:w="3109" w:type="dxa"/>
          </w:tcPr>
          <w:p w14:paraId="31B1B9B0" w14:textId="77777777" w:rsidR="00F741E6" w:rsidRDefault="00967291">
            <w:pPr>
              <w:spacing w:before="120" w:after="120"/>
              <w:jc w:val="both"/>
              <w:rPr>
                <w:rFonts w:cs="Tahoma"/>
              </w:rPr>
            </w:pPr>
            <w:r>
              <w:rPr>
                <w:rFonts w:cs="Tahoma"/>
              </w:rPr>
              <w:t>SENCo</w:t>
            </w:r>
          </w:p>
        </w:tc>
        <w:tc>
          <w:tcPr>
            <w:tcW w:w="6834" w:type="dxa"/>
          </w:tcPr>
          <w:p w14:paraId="0A2D74A0" w14:textId="745B4655" w:rsidR="00F741E6" w:rsidRDefault="00227109">
            <w:pPr>
              <w:spacing w:before="120" w:after="120"/>
              <w:jc w:val="both"/>
              <w:rPr>
                <w:rFonts w:cs="Tahoma"/>
                <w:bCs/>
              </w:rPr>
            </w:pPr>
            <w:r>
              <w:rPr>
                <w:rFonts w:cs="Tahoma"/>
                <w:bCs/>
              </w:rPr>
              <w:t xml:space="preserve">Dr </w:t>
            </w:r>
            <w:r w:rsidRPr="00227109">
              <w:rPr>
                <w:rFonts w:cs="Tahoma"/>
                <w:bCs/>
              </w:rPr>
              <w:t xml:space="preserve">Caroline Kafka-Markey </w:t>
            </w:r>
          </w:p>
        </w:tc>
      </w:tr>
      <w:tr w:rsidR="00F741E6" w14:paraId="205F6EF3" w14:textId="77777777" w:rsidTr="0CE60456">
        <w:tc>
          <w:tcPr>
            <w:tcW w:w="3109" w:type="dxa"/>
          </w:tcPr>
          <w:p w14:paraId="0136B599" w14:textId="77777777" w:rsidR="00F741E6" w:rsidRDefault="00F741E6">
            <w:pPr>
              <w:spacing w:before="120" w:after="120"/>
              <w:jc w:val="both"/>
              <w:rPr>
                <w:rFonts w:cs="Tahoma"/>
              </w:rPr>
            </w:pPr>
          </w:p>
        </w:tc>
        <w:tc>
          <w:tcPr>
            <w:tcW w:w="6834" w:type="dxa"/>
          </w:tcPr>
          <w:p w14:paraId="2AE14D4E" w14:textId="77777777" w:rsidR="00F741E6" w:rsidRDefault="00F741E6">
            <w:pPr>
              <w:spacing w:before="120" w:after="120"/>
              <w:jc w:val="both"/>
              <w:rPr>
                <w:rFonts w:cs="Tahoma"/>
                <w:bCs/>
              </w:rPr>
            </w:pPr>
          </w:p>
        </w:tc>
      </w:tr>
    </w:tbl>
    <w:p w14:paraId="08301571" w14:textId="77777777" w:rsidR="00F741E6" w:rsidRDefault="00967291">
      <w:pPr>
        <w:rPr>
          <w:rFonts w:eastAsiaTheme="minorEastAsia" w:cs="Arial"/>
          <w:b/>
          <w:color w:val="000000"/>
          <w:szCs w:val="22"/>
          <w:lang w:eastAsia="en-GB"/>
        </w:rPr>
      </w:pPr>
      <w:r>
        <w:rPr>
          <w:b/>
          <w:szCs w:val="22"/>
        </w:rPr>
        <w:br w:type="page"/>
      </w:r>
    </w:p>
    <w:p w14:paraId="37B351E0" w14:textId="77777777" w:rsidR="00F741E6" w:rsidRDefault="00967291">
      <w:pPr>
        <w:pStyle w:val="Headinglevel1"/>
        <w:spacing w:before="240"/>
      </w:pPr>
      <w:r>
        <w:lastRenderedPageBreak/>
        <w:t>Purpose of the process</w:t>
      </w:r>
    </w:p>
    <w:p w14:paraId="7558DAF2" w14:textId="77777777" w:rsidR="00F741E6" w:rsidRDefault="00967291">
      <w:pPr>
        <w:spacing w:after="120"/>
        <w:rPr>
          <w:rFonts w:cs="Open Sans"/>
        </w:rPr>
      </w:pPr>
      <w:r>
        <w:rPr>
          <w:rFonts w:cs="Open Sans"/>
        </w:rPr>
        <w:t xml:space="preserve">In terms of internal governance arrangements, it is the responsibility of the head of centre to ensure that </w:t>
      </w:r>
      <w:r>
        <w:t>The Deanery CE Academy has in place a written escalation process should the head of centre, or a member of the senior leadership team with oversight of examination administration, be absent.</w:t>
      </w:r>
    </w:p>
    <w:p w14:paraId="6CD472E4" w14:textId="77777777" w:rsidR="00F741E6" w:rsidRDefault="00967291">
      <w:pPr>
        <w:spacing w:after="120"/>
      </w:pPr>
      <w:r>
        <w:rPr>
          <w:rFonts w:cs="Open Sans"/>
        </w:rPr>
        <w:t xml:space="preserve">This process confirms the main duties and responsibilities to be escalated. </w:t>
      </w:r>
    </w:p>
    <w:p w14:paraId="2D489422" w14:textId="77777777" w:rsidR="00F741E6" w:rsidRDefault="00967291">
      <w:pPr>
        <w:spacing w:after="120"/>
        <w:rPr>
          <w:szCs w:val="22"/>
        </w:rPr>
      </w:pPr>
      <w:r>
        <w:t xml:space="preserve">This process also supports The Deanery CE Academy being </w:t>
      </w:r>
      <w:r>
        <w:rPr>
          <w:szCs w:val="22"/>
        </w:rPr>
        <w:t xml:space="preserve">able to </w:t>
      </w:r>
      <w:r>
        <w:rPr>
          <w:rFonts w:cs="Tahoma"/>
          <w:szCs w:val="22"/>
        </w:rPr>
        <w:t xml:space="preserve">confirm to an </w:t>
      </w:r>
      <w:proofErr w:type="gramStart"/>
      <w:r>
        <w:rPr>
          <w:rFonts w:cs="Tahoma"/>
          <w:szCs w:val="22"/>
        </w:rPr>
        <w:t>awarding body the external governance arrangements</w:t>
      </w:r>
      <w:proofErr w:type="gramEnd"/>
      <w:r>
        <w:rPr>
          <w:rFonts w:cs="Tahoma"/>
          <w:szCs w:val="22"/>
        </w:rPr>
        <w:t xml:space="preserve"> so that the awarding body has confidence in the integrity of centre activities such as the delivery of qualifications and the conducting of examinations and assessments.</w:t>
      </w:r>
    </w:p>
    <w:p w14:paraId="5467A734" w14:textId="77777777" w:rsidR="00F741E6" w:rsidRDefault="00967291">
      <w:pPr>
        <w:pStyle w:val="Headinglevel1"/>
        <w:spacing w:before="240"/>
      </w:pPr>
      <w:r>
        <w:t>Before examinations (Planning)</w:t>
      </w:r>
    </w:p>
    <w:p w14:paraId="27866157" w14:textId="77777777" w:rsidR="00F741E6" w:rsidRDefault="00967291">
      <w:pPr>
        <w:spacing w:after="120"/>
        <w:rPr>
          <w:rFonts w:cs="Tahoma"/>
          <w:szCs w:val="22"/>
        </w:rPr>
      </w:pPr>
      <w:r>
        <w:rPr>
          <w:rFonts w:cs="Tahoma"/>
        </w:rPr>
        <w:t>In the event of the absence of the head of centre or the member of senior leadership with oversight of examination administration, responsibility for implementing JCQ regulations and requirements relating to activity prior to examinations will be escalated to</w:t>
      </w:r>
      <w:r>
        <w:rPr>
          <w:rFonts w:cs="Tahoma"/>
          <w:szCs w:val="22"/>
        </w:rPr>
        <w:t xml:space="preserve"> the Assistant Headteacher (DSL).</w:t>
      </w:r>
    </w:p>
    <w:p w14:paraId="69510C36" w14:textId="77777777" w:rsidR="00F741E6" w:rsidRDefault="00967291">
      <w:pPr>
        <w:pStyle w:val="Default"/>
        <w:spacing w:after="120"/>
        <w:rPr>
          <w:rFonts w:ascii="Tahoma" w:hAnsi="Tahoma" w:cs="Tahoma"/>
          <w:sz w:val="22"/>
          <w:szCs w:val="22"/>
        </w:rPr>
      </w:pPr>
      <w:r>
        <w:rPr>
          <w:rFonts w:ascii="Tahoma" w:hAnsi="Tahoma" w:cs="Tahoma"/>
          <w:sz w:val="22"/>
          <w:szCs w:val="22"/>
        </w:rPr>
        <w:t>To support understanding of the regulations and requirements, the following JCQ publications will be referenced:</w:t>
      </w:r>
    </w:p>
    <w:p w14:paraId="654E6A00" w14:textId="77777777" w:rsidR="00F741E6" w:rsidRDefault="00967291">
      <w:pPr>
        <w:pStyle w:val="ListParagraph"/>
        <w:numPr>
          <w:ilvl w:val="0"/>
          <w:numId w:val="5"/>
        </w:numPr>
        <w:spacing w:line="240" w:lineRule="auto"/>
        <w:rPr>
          <w:rFonts w:cs="Tahoma"/>
        </w:rPr>
      </w:pPr>
      <w:r>
        <w:rPr>
          <w:rFonts w:cs="Tahoma"/>
        </w:rPr>
        <w:t xml:space="preserve">General Regulations for Approved Centres </w:t>
      </w:r>
    </w:p>
    <w:p w14:paraId="0C4581E8" w14:textId="77777777" w:rsidR="00F741E6" w:rsidRDefault="00967291">
      <w:pPr>
        <w:pStyle w:val="ListParagraph"/>
        <w:numPr>
          <w:ilvl w:val="0"/>
          <w:numId w:val="5"/>
        </w:numPr>
        <w:spacing w:line="240" w:lineRule="auto"/>
        <w:rPr>
          <w:rFonts w:cs="Tahoma"/>
        </w:rPr>
      </w:pPr>
      <w:r>
        <w:rPr>
          <w:rFonts w:cs="Tahoma"/>
        </w:rPr>
        <w:t xml:space="preserve">Instructions for conducting examinations </w:t>
      </w:r>
    </w:p>
    <w:p w14:paraId="61955714" w14:textId="77777777" w:rsidR="00F741E6" w:rsidRDefault="00967291">
      <w:pPr>
        <w:pStyle w:val="ListParagraph"/>
        <w:numPr>
          <w:ilvl w:val="0"/>
          <w:numId w:val="5"/>
        </w:numPr>
        <w:spacing w:line="240" w:lineRule="auto"/>
        <w:rPr>
          <w:rFonts w:cs="Tahoma"/>
        </w:rPr>
      </w:pPr>
      <w:r>
        <w:rPr>
          <w:rFonts w:cs="Tahoma"/>
        </w:rPr>
        <w:t>Access Arrangements and Reasonable Adjustments</w:t>
      </w:r>
    </w:p>
    <w:p w14:paraId="393A8424" w14:textId="77777777" w:rsidR="00F741E6" w:rsidRDefault="00967291">
      <w:pPr>
        <w:pStyle w:val="ListParagraph"/>
        <w:numPr>
          <w:ilvl w:val="0"/>
          <w:numId w:val="5"/>
        </w:numPr>
        <w:spacing w:line="240" w:lineRule="auto"/>
        <w:rPr>
          <w:rFonts w:cs="Tahoma"/>
        </w:rPr>
      </w:pPr>
      <w:r>
        <w:rPr>
          <w:rFonts w:cs="Tahoma"/>
        </w:rPr>
        <w:t>Instructions for conducting coursework</w:t>
      </w:r>
    </w:p>
    <w:p w14:paraId="14EC25CF" w14:textId="77777777" w:rsidR="00F741E6" w:rsidRDefault="00967291">
      <w:pPr>
        <w:pStyle w:val="ListParagraph"/>
        <w:numPr>
          <w:ilvl w:val="0"/>
          <w:numId w:val="5"/>
        </w:numPr>
        <w:spacing w:line="240" w:lineRule="auto"/>
        <w:rPr>
          <w:rFonts w:cs="Tahoma"/>
        </w:rPr>
      </w:pPr>
      <w:r>
        <w:rPr>
          <w:rFonts w:cs="Tahoma"/>
        </w:rPr>
        <w:t>Instructions for conducting non-examination assessments</w:t>
      </w:r>
    </w:p>
    <w:p w14:paraId="427329AD" w14:textId="77777777" w:rsidR="00F741E6" w:rsidRDefault="00967291">
      <w:pPr>
        <w:pStyle w:val="ListParagraph"/>
        <w:numPr>
          <w:ilvl w:val="0"/>
          <w:numId w:val="5"/>
        </w:numPr>
        <w:spacing w:line="240" w:lineRule="auto"/>
        <w:rPr>
          <w:rFonts w:cs="Tahoma"/>
        </w:rPr>
      </w:pPr>
      <w:r>
        <w:rPr>
          <w:rFonts w:cs="Tahoma"/>
        </w:rPr>
        <w:t>Suspected Malpractice – Policies and Procedures</w:t>
      </w:r>
    </w:p>
    <w:p w14:paraId="5712A385" w14:textId="77777777" w:rsidR="00F741E6" w:rsidRDefault="00967291">
      <w:pPr>
        <w:pStyle w:val="ListParagraph"/>
        <w:numPr>
          <w:ilvl w:val="0"/>
          <w:numId w:val="5"/>
        </w:numPr>
        <w:spacing w:after="120" w:line="240" w:lineRule="auto"/>
        <w:ind w:left="714" w:hanging="357"/>
        <w:rPr>
          <w:rFonts w:cs="Tahoma"/>
        </w:rPr>
      </w:pPr>
      <w:r>
        <w:rPr>
          <w:rFonts w:cs="Tahoma"/>
        </w:rPr>
        <w:t>A guide to the special consideration process</w:t>
      </w:r>
    </w:p>
    <w:p w14:paraId="0117FEB6" w14:textId="77777777" w:rsidR="00F741E6" w:rsidRDefault="00967291">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14:paraId="109333FB" w14:textId="77777777" w:rsidR="00F741E6" w:rsidRDefault="00967291">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Third party arrangements</w:t>
      </w:r>
    </w:p>
    <w:p w14:paraId="7A3DEFEF" w14:textId="77777777" w:rsidR="00F741E6" w:rsidRDefault="00967291">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 xml:space="preserve">Centre status </w:t>
      </w:r>
    </w:p>
    <w:p w14:paraId="352AA1AB"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Confidentiality </w:t>
      </w:r>
    </w:p>
    <w:p w14:paraId="3F88E654"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 xml:space="preserve">Communication </w:t>
      </w:r>
    </w:p>
    <w:p w14:paraId="01F8E9C1"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Recruitment, selection, training and support</w:t>
      </w:r>
    </w:p>
    <w:p w14:paraId="452C3E4C"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External and internal governance arrangements</w:t>
      </w:r>
    </w:p>
    <w:p w14:paraId="4D5EB164"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Delivery of qualifications</w:t>
      </w:r>
    </w:p>
    <w:p w14:paraId="44C83A9F"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Public liability</w:t>
      </w:r>
    </w:p>
    <w:p w14:paraId="507DB1D0"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Conflicts of interest</w:t>
      </w:r>
    </w:p>
    <w:p w14:paraId="011B606B" w14:textId="77777777" w:rsidR="00F741E6" w:rsidRDefault="00967291">
      <w:pPr>
        <w:pStyle w:val="ListParagraph"/>
        <w:numPr>
          <w:ilvl w:val="0"/>
          <w:numId w:val="15"/>
        </w:numPr>
        <w:spacing w:after="120" w:line="240" w:lineRule="auto"/>
        <w:rPr>
          <w:rFonts w:eastAsia="Times New Roman" w:cs="Tahoma"/>
        </w:rPr>
      </w:pPr>
      <w:r>
        <w:rPr>
          <w:rFonts w:eastAsia="Times New Roman" w:cs="Tahoma"/>
        </w:rPr>
        <w:t xml:space="preserve">Controlled assessments, coursework and non-examination assessments </w:t>
      </w:r>
    </w:p>
    <w:p w14:paraId="124E92E9"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Security of assessment materials</w:t>
      </w:r>
    </w:p>
    <w:p w14:paraId="6B66A44C"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National Centre Number Register</w:t>
      </w:r>
    </w:p>
    <w:p w14:paraId="5BB9F108" w14:textId="77777777" w:rsidR="00F741E6" w:rsidRDefault="00967291">
      <w:pPr>
        <w:pStyle w:val="NormalWeb"/>
        <w:numPr>
          <w:ilvl w:val="0"/>
          <w:numId w:val="15"/>
        </w:numPr>
        <w:spacing w:before="0" w:beforeAutospacing="0" w:after="120" w:afterAutospacing="0"/>
        <w:rPr>
          <w:rFonts w:ascii="Tahoma" w:hAnsi="Tahoma" w:cs="Tahoma"/>
          <w:szCs w:val="22"/>
        </w:rPr>
      </w:pPr>
      <w:r>
        <w:rPr>
          <w:rFonts w:ascii="Tahoma" w:hAnsi="Tahoma" w:cs="Tahoma"/>
          <w:szCs w:val="22"/>
        </w:rPr>
        <w:t>Centre inspections</w:t>
      </w:r>
    </w:p>
    <w:p w14:paraId="0760940E" w14:textId="77777777" w:rsidR="00F741E6" w:rsidRDefault="00967291">
      <w:pPr>
        <w:pStyle w:val="NormalWeb"/>
        <w:spacing w:before="0" w:beforeAutospacing="0" w:after="0" w:afterAutospacing="0"/>
        <w:ind w:left="720"/>
        <w:rPr>
          <w:rFonts w:ascii="Tahoma" w:hAnsi="Tahoma" w:cs="Tahoma"/>
          <w:szCs w:val="22"/>
        </w:rPr>
      </w:pPr>
      <w:r>
        <w:rPr>
          <w:rFonts w:ascii="Tahoma" w:hAnsi="Tahoma" w:cs="Tahoma"/>
          <w:szCs w:val="22"/>
        </w:rPr>
        <w:t>Additional JCQ publication for reference:</w:t>
      </w:r>
    </w:p>
    <w:p w14:paraId="1F1C8FE4" w14:textId="77777777" w:rsidR="00F741E6" w:rsidRDefault="00967291">
      <w:pPr>
        <w:pStyle w:val="NormalWeb"/>
        <w:numPr>
          <w:ilvl w:val="1"/>
          <w:numId w:val="16"/>
        </w:numPr>
        <w:spacing w:before="0" w:beforeAutospacing="0" w:after="120" w:afterAutospacing="0"/>
        <w:rPr>
          <w:rFonts w:ascii="Tahoma" w:hAnsi="Tahoma" w:cs="Tahoma"/>
          <w:szCs w:val="22"/>
        </w:rPr>
      </w:pPr>
      <w:r>
        <w:rPr>
          <w:rFonts w:ascii="Tahoma" w:hAnsi="Tahoma" w:cs="Tahoma"/>
          <w:szCs w:val="22"/>
        </w:rPr>
        <w:t>JCQ Centre Inspection Service Changes</w:t>
      </w:r>
    </w:p>
    <w:p w14:paraId="25C8D726" w14:textId="77777777" w:rsidR="00F741E6" w:rsidRDefault="00967291">
      <w:pPr>
        <w:pStyle w:val="NormalWeb"/>
        <w:numPr>
          <w:ilvl w:val="0"/>
          <w:numId w:val="17"/>
        </w:numPr>
        <w:spacing w:before="0" w:beforeAutospacing="0" w:after="120" w:afterAutospacing="0"/>
        <w:rPr>
          <w:rFonts w:ascii="Tahoma" w:hAnsi="Tahoma" w:cs="Tahoma"/>
          <w:szCs w:val="22"/>
        </w:rPr>
      </w:pPr>
      <w:r>
        <w:rPr>
          <w:rFonts w:ascii="Tahoma" w:hAnsi="Tahoma" w:cs="Tahoma"/>
          <w:szCs w:val="22"/>
        </w:rPr>
        <w:t>Policies available for inspection</w:t>
      </w:r>
    </w:p>
    <w:p w14:paraId="24F2A4EC" w14:textId="77777777" w:rsidR="00F741E6" w:rsidRDefault="00967291">
      <w:pPr>
        <w:pStyle w:val="NormalWeb"/>
        <w:spacing w:before="0" w:beforeAutospacing="0" w:after="0" w:afterAutospacing="0"/>
        <w:ind w:left="720"/>
        <w:rPr>
          <w:rFonts w:ascii="Tahoma" w:hAnsi="Tahoma" w:cs="Tahoma"/>
          <w:szCs w:val="22"/>
        </w:rPr>
      </w:pPr>
      <w:r>
        <w:rPr>
          <w:rFonts w:ascii="Tahoma" w:hAnsi="Tahoma" w:cs="Tahoma"/>
          <w:szCs w:val="22"/>
        </w:rPr>
        <w:t>Specific JCQ publications for reference:</w:t>
      </w:r>
    </w:p>
    <w:p w14:paraId="0BADBC97" w14:textId="77777777" w:rsidR="00F741E6" w:rsidRDefault="00967291">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General Regulations for Approved Centres (section 5)</w:t>
      </w:r>
    </w:p>
    <w:p w14:paraId="2328B1F1" w14:textId="77777777" w:rsidR="00F741E6" w:rsidRDefault="00967291">
      <w:pPr>
        <w:pStyle w:val="NormalWeb"/>
        <w:numPr>
          <w:ilvl w:val="1"/>
          <w:numId w:val="18"/>
        </w:numPr>
        <w:spacing w:before="0" w:beforeAutospacing="0" w:after="0" w:afterAutospacing="0"/>
        <w:ind w:left="1434" w:hanging="357"/>
        <w:rPr>
          <w:rFonts w:ascii="Tahoma" w:hAnsi="Tahoma" w:cs="Tahoma"/>
          <w:szCs w:val="22"/>
        </w:rPr>
      </w:pPr>
      <w:r>
        <w:rPr>
          <w:rFonts w:ascii="Tahoma" w:hAnsi="Tahoma" w:cs="Tahoma"/>
          <w:szCs w:val="22"/>
        </w:rPr>
        <w:t>Instructions for conducting examinations (section 25)</w:t>
      </w:r>
    </w:p>
    <w:p w14:paraId="6B3F3028" w14:textId="77777777" w:rsidR="00F741E6" w:rsidRDefault="00967291">
      <w:pPr>
        <w:pStyle w:val="NormalWeb"/>
        <w:numPr>
          <w:ilvl w:val="1"/>
          <w:numId w:val="18"/>
        </w:numPr>
        <w:spacing w:before="0" w:beforeAutospacing="0" w:after="120" w:afterAutospacing="0"/>
        <w:rPr>
          <w:rFonts w:ascii="Tahoma" w:hAnsi="Tahoma" w:cs="Tahoma"/>
          <w:szCs w:val="22"/>
        </w:rPr>
      </w:pPr>
      <w:r>
        <w:rPr>
          <w:rFonts w:ascii="Tahoma" w:hAnsi="Tahoma" w:cs="Tahoma"/>
          <w:szCs w:val="22"/>
        </w:rPr>
        <w:t>Access Arrangements and Reasonable Adjustments (section 5)</w:t>
      </w:r>
    </w:p>
    <w:p w14:paraId="722764EA" w14:textId="77777777" w:rsidR="00F741E6" w:rsidRDefault="00967291">
      <w:pPr>
        <w:pStyle w:val="ListParagraph"/>
        <w:numPr>
          <w:ilvl w:val="0"/>
          <w:numId w:val="17"/>
        </w:numPr>
        <w:spacing w:after="120" w:line="240" w:lineRule="auto"/>
        <w:ind w:left="714" w:hanging="357"/>
        <w:contextualSpacing w:val="0"/>
        <w:rPr>
          <w:rFonts w:cs="Tahoma"/>
        </w:rPr>
      </w:pPr>
      <w:r>
        <w:rPr>
          <w:rFonts w:cs="Tahoma"/>
        </w:rPr>
        <w:t>Personal data, freedom of information and copyright</w:t>
      </w:r>
    </w:p>
    <w:p w14:paraId="6C5764E8" w14:textId="77777777" w:rsidR="00F741E6" w:rsidRDefault="00967291">
      <w:pPr>
        <w:pStyle w:val="ListParagraph"/>
        <w:spacing w:after="120" w:line="240" w:lineRule="auto"/>
        <w:rPr>
          <w:rFonts w:cs="Tahoma"/>
        </w:rPr>
      </w:pPr>
      <w:r>
        <w:rPr>
          <w:rFonts w:cs="Tahoma"/>
        </w:rPr>
        <w:t>Additional JCQ publication for reference:</w:t>
      </w:r>
    </w:p>
    <w:p w14:paraId="6FC71AE1" w14:textId="77777777" w:rsidR="00F741E6" w:rsidRDefault="00967291">
      <w:pPr>
        <w:pStyle w:val="ListParagraph"/>
        <w:numPr>
          <w:ilvl w:val="1"/>
          <w:numId w:val="17"/>
        </w:numPr>
        <w:spacing w:after="120" w:line="240" w:lineRule="auto"/>
        <w:rPr>
          <w:rFonts w:cs="Tahoma"/>
        </w:rPr>
      </w:pPr>
      <w:r>
        <w:rPr>
          <w:rFonts w:cs="Tahoma"/>
        </w:rPr>
        <w:lastRenderedPageBreak/>
        <w:t>Information for candidates – Privacy Notice</w:t>
      </w:r>
    </w:p>
    <w:p w14:paraId="445F1AA8" w14:textId="77777777" w:rsidR="00F741E6" w:rsidRDefault="00F741E6">
      <w:pPr>
        <w:spacing w:after="120"/>
      </w:pPr>
    </w:p>
    <w:p w14:paraId="0F8E6EAF" w14:textId="77777777" w:rsidR="00F741E6" w:rsidRDefault="00967291">
      <w:pPr>
        <w:pStyle w:val="Headinglevel1"/>
        <w:spacing w:before="240"/>
      </w:pPr>
      <w:r>
        <w:t>Before examinations (Entries and Pre-exams)</w:t>
      </w:r>
    </w:p>
    <w:p w14:paraId="6638E645" w14:textId="77777777" w:rsidR="00F741E6" w:rsidRDefault="00967291">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entries and exam preparation will be escalated to Assistant Headteacher (DSL).</w:t>
      </w:r>
    </w:p>
    <w:p w14:paraId="2FE6D5D6" w14:textId="77777777" w:rsidR="00F741E6" w:rsidRDefault="00F741E6">
      <w:pPr>
        <w:spacing w:after="120"/>
        <w:rPr>
          <w:rFonts w:cs="Tahoma"/>
          <w:szCs w:val="22"/>
        </w:rPr>
      </w:pPr>
    </w:p>
    <w:p w14:paraId="45A63461" w14:textId="77777777" w:rsidR="00F741E6" w:rsidRDefault="00967291">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14344B93" w14:textId="77777777" w:rsidR="00F741E6" w:rsidRDefault="00967291">
      <w:pPr>
        <w:pStyle w:val="ListParagraph"/>
        <w:numPr>
          <w:ilvl w:val="0"/>
          <w:numId w:val="5"/>
        </w:numPr>
        <w:spacing w:line="240" w:lineRule="auto"/>
        <w:rPr>
          <w:rFonts w:cs="Tahoma"/>
        </w:rPr>
      </w:pPr>
      <w:r>
        <w:rPr>
          <w:rFonts w:cs="Tahoma"/>
        </w:rPr>
        <w:t>General Regulations for Approved Centres (section 5)</w:t>
      </w:r>
    </w:p>
    <w:p w14:paraId="3544142E" w14:textId="77777777" w:rsidR="00F741E6" w:rsidRDefault="00967291">
      <w:pPr>
        <w:pStyle w:val="ListParagraph"/>
        <w:numPr>
          <w:ilvl w:val="0"/>
          <w:numId w:val="5"/>
        </w:numPr>
        <w:spacing w:line="240" w:lineRule="auto"/>
        <w:rPr>
          <w:rFonts w:cs="Tahoma"/>
        </w:rPr>
      </w:pPr>
      <w:r>
        <w:rPr>
          <w:rFonts w:cs="Tahoma"/>
        </w:rPr>
        <w:t>Instructions for conducting examinations (sections 1-15)</w:t>
      </w:r>
    </w:p>
    <w:p w14:paraId="0FC6F105" w14:textId="77777777" w:rsidR="00F741E6" w:rsidRDefault="00967291">
      <w:pPr>
        <w:pStyle w:val="ListParagraph"/>
        <w:numPr>
          <w:ilvl w:val="0"/>
          <w:numId w:val="5"/>
        </w:numPr>
        <w:spacing w:after="120" w:line="240" w:lineRule="auto"/>
        <w:ind w:left="714" w:hanging="357"/>
        <w:rPr>
          <w:rFonts w:cs="Tahoma"/>
        </w:rPr>
      </w:pPr>
      <w:r>
        <w:rPr>
          <w:rFonts w:cs="Tahoma"/>
        </w:rPr>
        <w:t>Access Arrangements and Reasonable Adjustments (sections 6-8)</w:t>
      </w:r>
    </w:p>
    <w:p w14:paraId="5E190B28" w14:textId="77777777" w:rsidR="00F741E6" w:rsidRDefault="00967291">
      <w:pPr>
        <w:pStyle w:val="NormalWeb"/>
        <w:spacing w:before="120" w:beforeAutospacing="0" w:after="120" w:afterAutospacing="0"/>
        <w:rPr>
          <w:rFonts w:ascii="Tahoma" w:hAnsi="Tahoma" w:cs="Tahoma"/>
          <w:b/>
          <w:bCs/>
          <w:szCs w:val="22"/>
        </w:rPr>
      </w:pPr>
      <w:r>
        <w:rPr>
          <w:rFonts w:ascii="Tahoma" w:hAnsi="Tahoma" w:cs="Tahoma"/>
          <w:b/>
          <w:bCs/>
          <w:szCs w:val="22"/>
        </w:rPr>
        <w:t>Main duties and responsibilities relate to:</w:t>
      </w:r>
    </w:p>
    <w:p w14:paraId="01CDDC2B" w14:textId="77777777" w:rsidR="00F741E6" w:rsidRDefault="00967291">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Access arrangements and reasonable adjustments</w:t>
      </w:r>
    </w:p>
    <w:p w14:paraId="518420E8" w14:textId="77777777" w:rsidR="00F741E6" w:rsidRDefault="00967291">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Entries (including ensuring appropriate controls are in place which allow accurate entries to be submitted to the awarding bodies)</w:t>
      </w:r>
    </w:p>
    <w:p w14:paraId="54EF4278" w14:textId="77777777" w:rsidR="00F741E6" w:rsidRDefault="00967291">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14:paraId="79D5CC6F" w14:textId="77777777" w:rsidR="00F741E6" w:rsidRDefault="00967291">
      <w:pPr>
        <w:pStyle w:val="NormalWeb"/>
        <w:numPr>
          <w:ilvl w:val="1"/>
          <w:numId w:val="26"/>
        </w:numPr>
        <w:spacing w:before="0" w:beforeAutospacing="0" w:after="0" w:afterAutospacing="0"/>
        <w:rPr>
          <w:rFonts w:ascii="Tahoma" w:hAnsi="Tahoma" w:cs="Tahoma"/>
          <w:szCs w:val="22"/>
        </w:rPr>
      </w:pPr>
      <w:r>
        <w:rPr>
          <w:rFonts w:ascii="Tahoma" w:hAnsi="Tahoma" w:cs="Tahoma"/>
          <w:szCs w:val="22"/>
        </w:rPr>
        <w:t>Key dates</w:t>
      </w:r>
    </w:p>
    <w:p w14:paraId="1A10AC2C" w14:textId="77777777" w:rsidR="00F741E6" w:rsidRDefault="00967291">
      <w:pPr>
        <w:pStyle w:val="NormalWeb"/>
        <w:numPr>
          <w:ilvl w:val="1"/>
          <w:numId w:val="26"/>
        </w:numPr>
        <w:spacing w:before="0" w:beforeAutospacing="0" w:after="0" w:afterAutospacing="0"/>
        <w:rPr>
          <w:rFonts w:ascii="Tahoma" w:hAnsi="Tahoma" w:cs="Tahoma"/>
          <w:szCs w:val="22"/>
        </w:rPr>
      </w:pPr>
      <w:r>
        <w:rPr>
          <w:rFonts w:ascii="Tahoma" w:hAnsi="Tahoma" w:cs="Tahoma"/>
          <w:szCs w:val="22"/>
        </w:rPr>
        <w:t>Guidance Notes for Transferred Candidates</w:t>
      </w:r>
    </w:p>
    <w:p w14:paraId="0CA9D28E" w14:textId="77777777" w:rsidR="00F741E6" w:rsidRDefault="00967291">
      <w:pPr>
        <w:pStyle w:val="NormalWeb"/>
        <w:numPr>
          <w:ilvl w:val="1"/>
          <w:numId w:val="26"/>
        </w:numPr>
        <w:spacing w:before="0" w:beforeAutospacing="0" w:after="0" w:afterAutospacing="0"/>
        <w:rPr>
          <w:rFonts w:ascii="Tahoma" w:hAnsi="Tahoma" w:cs="Tahoma"/>
          <w:szCs w:val="22"/>
        </w:rPr>
      </w:pPr>
      <w:r>
        <w:rPr>
          <w:rFonts w:ascii="Tahoma" w:hAnsi="Tahoma" w:cs="Tahoma"/>
          <w:szCs w:val="22"/>
        </w:rPr>
        <w:t>Alternative Site guidance notes</w:t>
      </w:r>
    </w:p>
    <w:p w14:paraId="69FF3866" w14:textId="77777777" w:rsidR="00F741E6" w:rsidRDefault="00967291">
      <w:pPr>
        <w:pStyle w:val="NormalWeb"/>
        <w:numPr>
          <w:ilvl w:val="1"/>
          <w:numId w:val="26"/>
        </w:numPr>
        <w:spacing w:before="0" w:beforeAutospacing="0" w:after="120" w:afterAutospacing="0"/>
        <w:rPr>
          <w:rFonts w:ascii="Tahoma" w:hAnsi="Tahoma" w:cs="Tahoma"/>
          <w:szCs w:val="22"/>
        </w:rPr>
      </w:pPr>
      <w:r>
        <w:rPr>
          <w:rFonts w:ascii="Tahoma" w:hAnsi="Tahoma" w:cs="Tahoma"/>
          <w:szCs w:val="22"/>
        </w:rPr>
        <w:t>Guidance notes for overnight supervision of candidates with a timetable variation</w:t>
      </w:r>
    </w:p>
    <w:p w14:paraId="7F237E56" w14:textId="77777777" w:rsidR="00F741E6" w:rsidRDefault="00967291">
      <w:pPr>
        <w:pStyle w:val="NormalWeb"/>
        <w:numPr>
          <w:ilvl w:val="0"/>
          <w:numId w:val="15"/>
        </w:numPr>
        <w:spacing w:before="0" w:beforeAutospacing="0" w:after="120" w:afterAutospacing="0"/>
        <w:ind w:left="714" w:hanging="357"/>
        <w:rPr>
          <w:rFonts w:ascii="Tahoma" w:hAnsi="Tahoma" w:cs="Tahoma"/>
          <w:szCs w:val="22"/>
        </w:rPr>
      </w:pPr>
      <w:r>
        <w:rPr>
          <w:rFonts w:ascii="Tahoma" w:hAnsi="Tahoma" w:cs="Tahoma"/>
          <w:szCs w:val="22"/>
        </w:rPr>
        <w:t>Centre assessed work (including ensuring appropriate controls are in place which allow accurate internally assessed marks to be submitted to the awarding bodies)</w:t>
      </w:r>
    </w:p>
    <w:p w14:paraId="0FB2AEEB" w14:textId="77777777" w:rsidR="00F741E6" w:rsidRDefault="00967291">
      <w:pPr>
        <w:pStyle w:val="NormalWeb"/>
        <w:spacing w:before="0" w:beforeAutospacing="0" w:after="0" w:afterAutospacing="0"/>
        <w:ind w:left="714"/>
        <w:rPr>
          <w:rFonts w:ascii="Tahoma" w:hAnsi="Tahoma" w:cs="Tahoma"/>
          <w:szCs w:val="22"/>
        </w:rPr>
      </w:pPr>
      <w:r>
        <w:rPr>
          <w:rFonts w:ascii="Tahoma" w:hAnsi="Tahoma" w:cs="Tahoma"/>
          <w:szCs w:val="22"/>
        </w:rPr>
        <w:t>Additional JCQ publication for reference:</w:t>
      </w:r>
    </w:p>
    <w:p w14:paraId="54ED22A5" w14:textId="77777777" w:rsidR="00F741E6" w:rsidRDefault="00967291">
      <w:pPr>
        <w:pStyle w:val="NormalWeb"/>
        <w:numPr>
          <w:ilvl w:val="1"/>
          <w:numId w:val="27"/>
        </w:numPr>
        <w:spacing w:before="0" w:beforeAutospacing="0" w:after="120" w:afterAutospacing="0"/>
        <w:rPr>
          <w:rFonts w:ascii="Tahoma" w:hAnsi="Tahoma" w:cs="Tahoma"/>
          <w:szCs w:val="22"/>
        </w:rPr>
      </w:pPr>
      <w:r>
        <w:rPr>
          <w:rFonts w:ascii="Tahoma" w:hAnsi="Tahoma" w:cs="Tahoma"/>
          <w:szCs w:val="22"/>
        </w:rPr>
        <w:t>Guidance Notes – Centre Consortium Arrangements</w:t>
      </w:r>
    </w:p>
    <w:p w14:paraId="2856F367" w14:textId="77777777" w:rsidR="00F741E6" w:rsidRDefault="00967291">
      <w:pPr>
        <w:pStyle w:val="NormalWeb"/>
        <w:numPr>
          <w:ilvl w:val="0"/>
          <w:numId w:val="19"/>
        </w:numPr>
        <w:spacing w:before="0" w:beforeAutospacing="0" w:after="120" w:afterAutospacing="0"/>
        <w:rPr>
          <w:rFonts w:ascii="Tahoma" w:hAnsi="Tahoma" w:cs="Tahoma"/>
          <w:szCs w:val="22"/>
        </w:rPr>
      </w:pPr>
      <w:r>
        <w:rPr>
          <w:rFonts w:ascii="Tahoma" w:hAnsi="Tahoma" w:cs="Tahoma"/>
          <w:szCs w:val="22"/>
        </w:rPr>
        <w:t>Candidate information</w:t>
      </w:r>
    </w:p>
    <w:p w14:paraId="2AC479A1" w14:textId="77777777" w:rsidR="00F741E6" w:rsidRDefault="00967291">
      <w:pPr>
        <w:pStyle w:val="NormalWeb"/>
        <w:spacing w:before="0" w:beforeAutospacing="0" w:after="0" w:afterAutospacing="0"/>
        <w:ind w:left="720"/>
        <w:rPr>
          <w:rFonts w:ascii="Tahoma" w:hAnsi="Tahoma" w:cs="Tahoma"/>
          <w:szCs w:val="22"/>
        </w:rPr>
      </w:pPr>
      <w:r>
        <w:rPr>
          <w:rFonts w:ascii="Tahoma" w:hAnsi="Tahoma" w:cs="Tahoma"/>
          <w:szCs w:val="22"/>
        </w:rPr>
        <w:t>Additional JCQ publications for reference:</w:t>
      </w:r>
    </w:p>
    <w:p w14:paraId="4E7AECB4" w14:textId="77777777" w:rsidR="00F741E6" w:rsidRDefault="00967291">
      <w:pPr>
        <w:pStyle w:val="NormalWeb"/>
        <w:numPr>
          <w:ilvl w:val="1"/>
          <w:numId w:val="28"/>
        </w:numPr>
        <w:spacing w:before="0" w:beforeAutospacing="0" w:after="0" w:afterAutospacing="0"/>
        <w:rPr>
          <w:rFonts w:ascii="Tahoma" w:hAnsi="Tahoma" w:cs="Tahoma"/>
          <w:szCs w:val="22"/>
        </w:rPr>
      </w:pPr>
      <w:r>
        <w:rPr>
          <w:rFonts w:ascii="Tahoma" w:hAnsi="Tahoma" w:cs="Tahoma"/>
          <w:szCs w:val="22"/>
        </w:rPr>
        <w:t xml:space="preserve">Information for </w:t>
      </w:r>
      <w:proofErr w:type="gramStart"/>
      <w:r>
        <w:rPr>
          <w:rFonts w:ascii="Tahoma" w:hAnsi="Tahoma" w:cs="Tahoma"/>
          <w:szCs w:val="22"/>
        </w:rPr>
        <w:t>candidates</w:t>
      </w:r>
      <w:proofErr w:type="gramEnd"/>
      <w:r>
        <w:rPr>
          <w:rFonts w:ascii="Tahoma" w:hAnsi="Tahoma" w:cs="Tahoma"/>
          <w:szCs w:val="22"/>
        </w:rPr>
        <w:t xml:space="preserve"> documents</w:t>
      </w:r>
    </w:p>
    <w:p w14:paraId="5CD79FB6" w14:textId="77777777" w:rsidR="00F741E6" w:rsidRDefault="00967291">
      <w:pPr>
        <w:pStyle w:val="NormalWeb"/>
        <w:numPr>
          <w:ilvl w:val="1"/>
          <w:numId w:val="28"/>
        </w:numPr>
        <w:spacing w:before="0" w:beforeAutospacing="0" w:after="0" w:afterAutospacing="0"/>
        <w:rPr>
          <w:rFonts w:ascii="Tahoma" w:hAnsi="Tahoma" w:cs="Tahoma"/>
          <w:szCs w:val="22"/>
        </w:rPr>
      </w:pPr>
      <w:r>
        <w:rPr>
          <w:rFonts w:ascii="Tahoma" w:hAnsi="Tahoma" w:cs="Tahoma"/>
          <w:szCs w:val="22"/>
        </w:rPr>
        <w:t>Exam Room Posters</w:t>
      </w:r>
    </w:p>
    <w:p w14:paraId="5716FFA7" w14:textId="77777777" w:rsidR="00F741E6" w:rsidRDefault="00967291">
      <w:pPr>
        <w:pStyle w:val="Headinglevel1"/>
        <w:spacing w:before="240"/>
      </w:pPr>
      <w:r>
        <w:t>During examinations (Exam time)</w:t>
      </w:r>
    </w:p>
    <w:p w14:paraId="285A9125" w14:textId="77777777" w:rsidR="00F741E6" w:rsidRDefault="00967291">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during exam time will be escalated to Assistant Headteacher (DSL).</w:t>
      </w:r>
    </w:p>
    <w:p w14:paraId="357F0C5D" w14:textId="77777777" w:rsidR="00F741E6" w:rsidRDefault="00967291">
      <w:pPr>
        <w:spacing w:after="120"/>
        <w:rPr>
          <w:rFonts w:cs="Tahoma"/>
          <w:szCs w:val="22"/>
        </w:rPr>
      </w:pPr>
      <w:r>
        <w:rPr>
          <w:rFonts w:cs="Tahoma"/>
          <w:szCs w:val="22"/>
        </w:rPr>
        <w:t>The centre also has in place has in place a member of the senior leadership team who will provide support and guidance to the examinations officer and ensure that the integrity and security of examinations and assessments is maintained throughout an examination series.</w:t>
      </w:r>
    </w:p>
    <w:p w14:paraId="660A100B" w14:textId="77777777" w:rsidR="00F741E6" w:rsidRDefault="00967291">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2B16620B" w14:textId="77777777" w:rsidR="00F741E6" w:rsidRDefault="00967291">
      <w:pPr>
        <w:pStyle w:val="ListParagraph"/>
        <w:numPr>
          <w:ilvl w:val="0"/>
          <w:numId w:val="14"/>
        </w:numPr>
        <w:spacing w:line="240" w:lineRule="auto"/>
        <w:rPr>
          <w:rFonts w:cs="Tahoma"/>
        </w:rPr>
      </w:pPr>
      <w:r>
        <w:rPr>
          <w:rFonts w:cs="Tahoma"/>
        </w:rPr>
        <w:t>General Regulations for Approved Centres (sections 3, 5)</w:t>
      </w:r>
    </w:p>
    <w:p w14:paraId="14BC16FE" w14:textId="77777777" w:rsidR="00F741E6" w:rsidRDefault="00967291">
      <w:pPr>
        <w:pStyle w:val="ListParagraph"/>
        <w:numPr>
          <w:ilvl w:val="0"/>
          <w:numId w:val="14"/>
        </w:numPr>
        <w:spacing w:line="240" w:lineRule="auto"/>
        <w:rPr>
          <w:rFonts w:cs="Tahoma"/>
        </w:rPr>
      </w:pPr>
      <w:r>
        <w:rPr>
          <w:rFonts w:cs="Tahoma"/>
        </w:rPr>
        <w:t>Instructions for conducting examinations</w:t>
      </w:r>
      <w:r>
        <w:rPr>
          <w:rFonts w:cs="Tahoma"/>
          <w:i/>
          <w:iCs/>
        </w:rPr>
        <w:t xml:space="preserve"> </w:t>
      </w:r>
      <w:r>
        <w:rPr>
          <w:rFonts w:cs="Tahoma"/>
        </w:rPr>
        <w:t>(sections 16-31)</w:t>
      </w:r>
    </w:p>
    <w:p w14:paraId="0ECABD55" w14:textId="77777777" w:rsidR="00F741E6" w:rsidRDefault="00967291">
      <w:pPr>
        <w:pStyle w:val="ListParagraph"/>
        <w:numPr>
          <w:ilvl w:val="0"/>
          <w:numId w:val="14"/>
        </w:numPr>
        <w:spacing w:line="240" w:lineRule="auto"/>
        <w:rPr>
          <w:rFonts w:cs="Tahoma"/>
        </w:rPr>
      </w:pPr>
      <w:r>
        <w:rPr>
          <w:rFonts w:cs="Tahoma"/>
        </w:rPr>
        <w:t>Access Arrangements and Reasonable Adjustments</w:t>
      </w:r>
      <w:r>
        <w:rPr>
          <w:rFonts w:cs="Tahoma"/>
          <w:i/>
          <w:iCs/>
        </w:rPr>
        <w:t xml:space="preserve"> </w:t>
      </w:r>
      <w:r>
        <w:rPr>
          <w:rFonts w:cs="Tahoma"/>
        </w:rPr>
        <w:t>(section 8)</w:t>
      </w:r>
    </w:p>
    <w:p w14:paraId="12CE1C0E" w14:textId="77777777" w:rsidR="00F741E6" w:rsidRDefault="00967291">
      <w:pPr>
        <w:pStyle w:val="ListParagraph"/>
        <w:numPr>
          <w:ilvl w:val="0"/>
          <w:numId w:val="8"/>
        </w:numPr>
        <w:spacing w:line="240" w:lineRule="auto"/>
        <w:rPr>
          <w:rFonts w:cs="Tahoma"/>
        </w:rPr>
      </w:pPr>
      <w:r>
        <w:rPr>
          <w:rFonts w:cs="Tahoma"/>
        </w:rPr>
        <w:t>A guide to the special consideration process (sections 2-7)</w:t>
      </w:r>
    </w:p>
    <w:p w14:paraId="08170514" w14:textId="77777777" w:rsidR="00F741E6" w:rsidRDefault="00967291">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14:paraId="762A8862"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Conducting examinations and assessments</w:t>
      </w:r>
    </w:p>
    <w:p w14:paraId="58BF19AD" w14:textId="77777777" w:rsidR="00F741E6" w:rsidRDefault="00967291">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14:paraId="3648E847" w14:textId="77777777" w:rsidR="00F741E6" w:rsidRDefault="00967291">
      <w:pPr>
        <w:pStyle w:val="NormalWeb"/>
        <w:numPr>
          <w:ilvl w:val="1"/>
          <w:numId w:val="29"/>
        </w:numPr>
        <w:spacing w:before="0" w:beforeAutospacing="0" w:after="120" w:afterAutospacing="0"/>
        <w:rPr>
          <w:rFonts w:ascii="Tahoma" w:hAnsi="Tahoma" w:cs="Tahoma"/>
          <w:szCs w:val="22"/>
        </w:rPr>
      </w:pPr>
      <w:r>
        <w:rPr>
          <w:rFonts w:ascii="Tahoma" w:hAnsi="Tahoma" w:cs="Tahoma"/>
          <w:szCs w:val="22"/>
        </w:rPr>
        <w:lastRenderedPageBreak/>
        <w:t>Guidance Notes – Very Late Arrival</w:t>
      </w:r>
    </w:p>
    <w:p w14:paraId="2603AAE2"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Malpractice </w:t>
      </w:r>
    </w:p>
    <w:p w14:paraId="75BF77B1"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Retention of candidates’ work</w:t>
      </w:r>
    </w:p>
    <w:p w14:paraId="4D5FA81A" w14:textId="77777777" w:rsidR="00F741E6" w:rsidRDefault="00967291">
      <w:pPr>
        <w:pStyle w:val="Headinglevel1"/>
        <w:spacing w:before="240"/>
      </w:pPr>
      <w:r>
        <w:t>After examinations (Results and Post-Results)</w:t>
      </w:r>
    </w:p>
    <w:p w14:paraId="69C0CF60" w14:textId="77777777" w:rsidR="00F741E6" w:rsidRDefault="00967291">
      <w:pPr>
        <w:spacing w:after="120"/>
        <w:rPr>
          <w:rFonts w:cs="Tahoma"/>
          <w:szCs w:val="22"/>
        </w:rPr>
      </w:pPr>
      <w:r>
        <w:rPr>
          <w:rFonts w:cs="Tahoma"/>
          <w:szCs w:val="22"/>
        </w:rPr>
        <w:t>In the event of the absence of the head of centre or the member of senior leadership with oversight of examination administration, responsibility for implementing JCQ regulations and requirements relating to after examinations will be escalated to Assistant Headteacher (DSL).</w:t>
      </w:r>
    </w:p>
    <w:p w14:paraId="24E07F3A" w14:textId="77777777" w:rsidR="00F741E6" w:rsidRDefault="00967291">
      <w:pPr>
        <w:tabs>
          <w:tab w:val="left" w:pos="1287"/>
        </w:tabs>
        <w:spacing w:before="120" w:after="120"/>
        <w:rPr>
          <w:rFonts w:cs="Tahoma"/>
          <w:szCs w:val="22"/>
        </w:rPr>
      </w:pPr>
      <w:r>
        <w:rPr>
          <w:rFonts w:cs="Tahoma"/>
          <w:szCs w:val="22"/>
        </w:rPr>
        <w:t>The centre also has in place two members of the senior leadership team who will act as an emergency point of contact for the awarding bodies. They have the authority to liaise across the centre and ensure that any issues, queries, raised by an awarding body are successfully resolved prior to the publication of results.  The head of centre is required to provide this information on an annual basis to the National Centre Number Team.</w:t>
      </w:r>
    </w:p>
    <w:p w14:paraId="537D9662" w14:textId="77777777" w:rsidR="00F741E6" w:rsidRDefault="00967291">
      <w:pPr>
        <w:pStyle w:val="Default"/>
        <w:spacing w:after="120"/>
        <w:rPr>
          <w:rFonts w:ascii="Tahoma" w:hAnsi="Tahoma" w:cs="Tahoma"/>
          <w:sz w:val="22"/>
          <w:szCs w:val="22"/>
        </w:rPr>
      </w:pPr>
      <w:r>
        <w:rPr>
          <w:rFonts w:ascii="Tahoma" w:hAnsi="Tahoma" w:cs="Tahoma"/>
          <w:sz w:val="22"/>
          <w:szCs w:val="22"/>
        </w:rPr>
        <w:t>To support understanding of the regulations and requirements, sections of relevant JCQ publications will be specifically referenced including:</w:t>
      </w:r>
    </w:p>
    <w:p w14:paraId="13FEFDED" w14:textId="77777777" w:rsidR="00F741E6" w:rsidRDefault="00967291">
      <w:pPr>
        <w:pStyle w:val="ListParagraph"/>
        <w:numPr>
          <w:ilvl w:val="0"/>
          <w:numId w:val="8"/>
        </w:numPr>
        <w:spacing w:line="240" w:lineRule="auto"/>
        <w:rPr>
          <w:rFonts w:cs="Tahoma"/>
        </w:rPr>
      </w:pPr>
      <w:r>
        <w:rPr>
          <w:rFonts w:cs="Tahoma"/>
        </w:rPr>
        <w:t>General Regulations for Approved Centres (section 5)</w:t>
      </w:r>
    </w:p>
    <w:p w14:paraId="38603C26" w14:textId="77777777" w:rsidR="00F741E6" w:rsidRDefault="00967291">
      <w:pPr>
        <w:pStyle w:val="NormalWeb"/>
        <w:spacing w:before="0" w:beforeAutospacing="0" w:after="120" w:afterAutospacing="0"/>
        <w:rPr>
          <w:rFonts w:ascii="Tahoma" w:hAnsi="Tahoma" w:cs="Tahoma"/>
          <w:b/>
          <w:bCs/>
          <w:szCs w:val="22"/>
        </w:rPr>
      </w:pPr>
      <w:r>
        <w:rPr>
          <w:rFonts w:ascii="Tahoma" w:hAnsi="Tahoma" w:cs="Tahoma"/>
          <w:b/>
          <w:bCs/>
          <w:szCs w:val="22"/>
        </w:rPr>
        <w:t>Main duties and responsibilities relate to:</w:t>
      </w:r>
    </w:p>
    <w:p w14:paraId="5EF0497B"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Results </w:t>
      </w:r>
    </w:p>
    <w:p w14:paraId="433FDF0E" w14:textId="77777777" w:rsidR="00F741E6" w:rsidRDefault="00967291">
      <w:pPr>
        <w:pStyle w:val="NormalWeb"/>
        <w:spacing w:before="0" w:beforeAutospacing="0" w:after="0" w:afterAutospacing="0"/>
        <w:ind w:left="729"/>
        <w:rPr>
          <w:rFonts w:ascii="Tahoma" w:hAnsi="Tahoma" w:cs="Tahoma"/>
          <w:szCs w:val="22"/>
        </w:rPr>
      </w:pPr>
      <w:r>
        <w:rPr>
          <w:rFonts w:ascii="Tahoma" w:hAnsi="Tahoma" w:cs="Tahoma"/>
          <w:szCs w:val="22"/>
        </w:rPr>
        <w:t>Additional JCQ publication for reference:</w:t>
      </w:r>
    </w:p>
    <w:p w14:paraId="045D0118" w14:textId="77777777" w:rsidR="00F741E6" w:rsidRDefault="00967291">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Release of Results notice</w:t>
      </w:r>
    </w:p>
    <w:p w14:paraId="7EFFA37F"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Post-results services and appeals</w:t>
      </w:r>
    </w:p>
    <w:p w14:paraId="30303EAA" w14:textId="77777777" w:rsidR="00F741E6" w:rsidRDefault="00967291">
      <w:pPr>
        <w:pStyle w:val="NormalWeb"/>
        <w:spacing w:before="0" w:beforeAutospacing="0" w:after="0" w:afterAutospacing="0"/>
        <w:ind w:left="729"/>
        <w:rPr>
          <w:rFonts w:ascii="Tahoma" w:hAnsi="Tahoma" w:cs="Tahoma"/>
          <w:szCs w:val="22"/>
        </w:rPr>
      </w:pPr>
      <w:r>
        <w:rPr>
          <w:rFonts w:ascii="Tahoma" w:hAnsi="Tahoma" w:cs="Tahoma"/>
          <w:szCs w:val="22"/>
        </w:rPr>
        <w:t>Additional JCQ publications for reference:</w:t>
      </w:r>
    </w:p>
    <w:p w14:paraId="45E0DF97" w14:textId="77777777" w:rsidR="00F741E6" w:rsidRDefault="00967291">
      <w:pPr>
        <w:pStyle w:val="NormalWeb"/>
        <w:numPr>
          <w:ilvl w:val="1"/>
          <w:numId w:val="8"/>
        </w:numPr>
        <w:spacing w:before="0" w:beforeAutospacing="0" w:after="0" w:afterAutospacing="0"/>
        <w:rPr>
          <w:rFonts w:ascii="Tahoma" w:hAnsi="Tahoma" w:cs="Tahoma"/>
          <w:szCs w:val="22"/>
          <w:u w:val="single"/>
        </w:rPr>
      </w:pPr>
      <w:r>
        <w:rPr>
          <w:rFonts w:ascii="Tahoma" w:hAnsi="Tahoma" w:cs="Tahoma"/>
          <w:szCs w:val="22"/>
        </w:rPr>
        <w:t>Post-Results Services (Information and guidance to centres)</w:t>
      </w:r>
    </w:p>
    <w:p w14:paraId="5EEE89E8" w14:textId="77777777" w:rsidR="00F741E6" w:rsidRDefault="00967291">
      <w:pPr>
        <w:pStyle w:val="NormalWeb"/>
        <w:numPr>
          <w:ilvl w:val="1"/>
          <w:numId w:val="8"/>
        </w:numPr>
        <w:spacing w:before="0" w:beforeAutospacing="0" w:after="120" w:afterAutospacing="0"/>
        <w:rPr>
          <w:rFonts w:ascii="Tahoma" w:hAnsi="Tahoma" w:cs="Tahoma"/>
          <w:szCs w:val="22"/>
          <w:u w:val="single"/>
        </w:rPr>
      </w:pPr>
      <w:r>
        <w:rPr>
          <w:rFonts w:ascii="Tahoma" w:hAnsi="Tahoma" w:cs="Tahoma"/>
          <w:szCs w:val="22"/>
        </w:rPr>
        <w:t xml:space="preserve">JCQ Appeals Booklet (A guide to the awarding bodies’ appeals processes) </w:t>
      </w:r>
    </w:p>
    <w:p w14:paraId="002D7243" w14:textId="77777777" w:rsidR="00F741E6" w:rsidRDefault="00967291">
      <w:pPr>
        <w:pStyle w:val="NormalWeb"/>
        <w:numPr>
          <w:ilvl w:val="0"/>
          <w:numId w:val="8"/>
        </w:numPr>
        <w:spacing w:before="0" w:beforeAutospacing="0" w:after="120" w:afterAutospacing="0"/>
        <w:rPr>
          <w:rFonts w:ascii="Tahoma" w:hAnsi="Tahoma" w:cs="Tahoma"/>
          <w:szCs w:val="22"/>
        </w:rPr>
      </w:pPr>
      <w:r>
        <w:rPr>
          <w:rFonts w:ascii="Tahoma" w:hAnsi="Tahoma" w:cs="Tahoma"/>
          <w:szCs w:val="22"/>
        </w:rPr>
        <w:t xml:space="preserve">Certificates </w:t>
      </w:r>
    </w:p>
    <w:sectPr w:rsidR="00F741E6">
      <w:pgSz w:w="11900" w:h="16840"/>
      <w:pgMar w:top="624" w:right="794" w:bottom="816"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BEBBE" w14:textId="77777777" w:rsidR="005967E5" w:rsidRDefault="005967E5">
      <w:r>
        <w:separator/>
      </w:r>
    </w:p>
  </w:endnote>
  <w:endnote w:type="continuationSeparator" w:id="0">
    <w:p w14:paraId="2AF7C9E4" w14:textId="77777777" w:rsidR="005967E5" w:rsidRDefault="0059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E09A0" w14:textId="77777777" w:rsidR="005967E5" w:rsidRDefault="005967E5">
      <w:r>
        <w:separator/>
      </w:r>
    </w:p>
  </w:footnote>
  <w:footnote w:type="continuationSeparator" w:id="0">
    <w:p w14:paraId="516FE355" w14:textId="77777777" w:rsidR="005967E5" w:rsidRDefault="0059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25F35"/>
    <w:multiLevelType w:val="hybridMultilevel"/>
    <w:tmpl w:val="A346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6616E"/>
    <w:multiLevelType w:val="hybridMultilevel"/>
    <w:tmpl w:val="FAA65B8C"/>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D5875"/>
    <w:multiLevelType w:val="hybridMultilevel"/>
    <w:tmpl w:val="759425EE"/>
    <w:lvl w:ilvl="0" w:tplc="DEFC2056">
      <w:start w:val="1"/>
      <w:numFmt w:val="bullet"/>
      <w:lvlText w:val=""/>
      <w:lvlJc w:val="left"/>
      <w:pPr>
        <w:ind w:left="729"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 w15:restartNumberingAfterBreak="0">
    <w:nsid w:val="10B0564A"/>
    <w:multiLevelType w:val="hybridMultilevel"/>
    <w:tmpl w:val="4A7C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0735"/>
    <w:multiLevelType w:val="hybridMultilevel"/>
    <w:tmpl w:val="7862EE70"/>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C3CC8"/>
    <w:multiLevelType w:val="hybridMultilevel"/>
    <w:tmpl w:val="F7C4CB18"/>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6E6F15"/>
    <w:multiLevelType w:val="hybridMultilevel"/>
    <w:tmpl w:val="922667F8"/>
    <w:lvl w:ilvl="0" w:tplc="FFFFFFFF">
      <w:start w:val="1"/>
      <w:numFmt w:val="bullet"/>
      <w:lvlText w:val=""/>
      <w:lvlJc w:val="left"/>
      <w:pPr>
        <w:ind w:left="729"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AB66A53"/>
    <w:multiLevelType w:val="hybridMultilevel"/>
    <w:tmpl w:val="7014229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77FE5"/>
    <w:multiLevelType w:val="hybridMultilevel"/>
    <w:tmpl w:val="B66CDE02"/>
    <w:lvl w:ilvl="0" w:tplc="0AC8F098">
      <w:start w:val="1"/>
      <w:numFmt w:val="bullet"/>
      <w:lvlText w:val=""/>
      <w:lvlJc w:val="left"/>
      <w:pPr>
        <w:ind w:left="720" w:hanging="360"/>
      </w:pPr>
      <w:rPr>
        <w:rFonts w:ascii="Wingdings 3" w:hAnsi="Wingdings 3" w:hint="default"/>
        <w:color w:val="003399"/>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73835"/>
    <w:multiLevelType w:val="hybridMultilevel"/>
    <w:tmpl w:val="15D282D6"/>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3194A"/>
    <w:multiLevelType w:val="multilevel"/>
    <w:tmpl w:val="CF42B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47EF8"/>
    <w:multiLevelType w:val="hybridMultilevel"/>
    <w:tmpl w:val="82B4B708"/>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E6F2D"/>
    <w:multiLevelType w:val="hybridMultilevel"/>
    <w:tmpl w:val="9CB8E87C"/>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832DD"/>
    <w:multiLevelType w:val="multilevel"/>
    <w:tmpl w:val="F6FE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84F8C"/>
    <w:multiLevelType w:val="hybridMultilevel"/>
    <w:tmpl w:val="D244F32A"/>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A664F"/>
    <w:multiLevelType w:val="hybridMultilevel"/>
    <w:tmpl w:val="0068F1B0"/>
    <w:lvl w:ilvl="0" w:tplc="A330F1F6">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AF0F7E"/>
    <w:multiLevelType w:val="hybridMultilevel"/>
    <w:tmpl w:val="56FC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0802BB"/>
    <w:multiLevelType w:val="hybridMultilevel"/>
    <w:tmpl w:val="2430C8F8"/>
    <w:lvl w:ilvl="0" w:tplc="DEFC2056">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9E06F0"/>
    <w:multiLevelType w:val="hybridMultilevel"/>
    <w:tmpl w:val="9A0892A6"/>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A3493"/>
    <w:multiLevelType w:val="hybridMultilevel"/>
    <w:tmpl w:val="408C9CBA"/>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336D8"/>
    <w:multiLevelType w:val="hybridMultilevel"/>
    <w:tmpl w:val="64B0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46C7A"/>
    <w:multiLevelType w:val="multilevel"/>
    <w:tmpl w:val="C2F2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982DBB"/>
    <w:multiLevelType w:val="multilevel"/>
    <w:tmpl w:val="1E74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45335B"/>
    <w:multiLevelType w:val="hybridMultilevel"/>
    <w:tmpl w:val="B21C7C62"/>
    <w:lvl w:ilvl="0" w:tplc="CB7C0D1A">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551E63"/>
    <w:multiLevelType w:val="hybridMultilevel"/>
    <w:tmpl w:val="C63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96F9D"/>
    <w:multiLevelType w:val="multilevel"/>
    <w:tmpl w:val="346C9E5E"/>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3738C1"/>
    <w:multiLevelType w:val="hybridMultilevel"/>
    <w:tmpl w:val="010C921A"/>
    <w:lvl w:ilvl="0" w:tplc="DEFC2056">
      <w:start w:val="1"/>
      <w:numFmt w:val="bullet"/>
      <w:lvlText w:val=""/>
      <w:lvlJc w:val="left"/>
      <w:pPr>
        <w:ind w:left="729"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7FD90537"/>
    <w:multiLevelType w:val="hybridMultilevel"/>
    <w:tmpl w:val="692C1A58"/>
    <w:lvl w:ilvl="0" w:tplc="FFFFFFFF">
      <w:start w:val="1"/>
      <w:numFmt w:val="bullet"/>
      <w:lvlText w:val=""/>
      <w:lvlJc w:val="left"/>
      <w:pPr>
        <w:ind w:left="720" w:hanging="360"/>
      </w:pPr>
      <w:rPr>
        <w:rFonts w:ascii="Symbol" w:hAnsi="Symbol" w:hint="default"/>
        <w:color w:val="003399"/>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3436237">
    <w:abstractNumId w:val="22"/>
  </w:num>
  <w:num w:numId="2" w16cid:durableId="1158808036">
    <w:abstractNumId w:val="14"/>
  </w:num>
  <w:num w:numId="3" w16cid:durableId="1698652232">
    <w:abstractNumId w:val="10"/>
  </w:num>
  <w:num w:numId="4" w16cid:durableId="1572692163">
    <w:abstractNumId w:val="23"/>
  </w:num>
  <w:num w:numId="5" w16cid:durableId="1254900784">
    <w:abstractNumId w:val="16"/>
  </w:num>
  <w:num w:numId="6" w16cid:durableId="1549999357">
    <w:abstractNumId w:val="25"/>
  </w:num>
  <w:num w:numId="7" w16cid:durableId="1679964697">
    <w:abstractNumId w:val="21"/>
  </w:num>
  <w:num w:numId="8" w16cid:durableId="711852359">
    <w:abstractNumId w:val="27"/>
  </w:num>
  <w:num w:numId="9" w16cid:durableId="148641473">
    <w:abstractNumId w:val="0"/>
  </w:num>
  <w:num w:numId="10" w16cid:durableId="1732272701">
    <w:abstractNumId w:val="17"/>
  </w:num>
  <w:num w:numId="11" w16cid:durableId="660230105">
    <w:abstractNumId w:val="19"/>
  </w:num>
  <w:num w:numId="12" w16cid:durableId="650330217">
    <w:abstractNumId w:val="3"/>
  </w:num>
  <w:num w:numId="13" w16cid:durableId="419182490">
    <w:abstractNumId w:val="15"/>
  </w:num>
  <w:num w:numId="14" w16cid:durableId="1194002945">
    <w:abstractNumId w:val="4"/>
  </w:num>
  <w:num w:numId="15" w16cid:durableId="594020409">
    <w:abstractNumId w:val="12"/>
  </w:num>
  <w:num w:numId="16" w16cid:durableId="684403362">
    <w:abstractNumId w:val="18"/>
  </w:num>
  <w:num w:numId="17" w16cid:durableId="1158228867">
    <w:abstractNumId w:val="7"/>
  </w:num>
  <w:num w:numId="18" w16cid:durableId="1838111040">
    <w:abstractNumId w:val="13"/>
  </w:num>
  <w:num w:numId="19" w16cid:durableId="749624709">
    <w:abstractNumId w:val="9"/>
  </w:num>
  <w:num w:numId="20" w16cid:durableId="1272131697">
    <w:abstractNumId w:val="2"/>
  </w:num>
  <w:num w:numId="21" w16cid:durableId="1760255171">
    <w:abstractNumId w:val="11"/>
  </w:num>
  <w:num w:numId="22" w16cid:durableId="1143816353">
    <w:abstractNumId w:val="24"/>
  </w:num>
  <w:num w:numId="23" w16cid:durableId="1055080086">
    <w:abstractNumId w:val="26"/>
  </w:num>
  <w:num w:numId="24" w16cid:durableId="167714776">
    <w:abstractNumId w:val="20"/>
  </w:num>
  <w:num w:numId="25" w16cid:durableId="1625189019">
    <w:abstractNumId w:val="8"/>
  </w:num>
  <w:num w:numId="26" w16cid:durableId="727581276">
    <w:abstractNumId w:val="28"/>
  </w:num>
  <w:num w:numId="27" w16cid:durableId="953899244">
    <w:abstractNumId w:val="5"/>
  </w:num>
  <w:num w:numId="28" w16cid:durableId="1200824158">
    <w:abstractNumId w:val="1"/>
  </w:num>
  <w:num w:numId="29" w16cid:durableId="1281493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E6"/>
    <w:rsid w:val="00227109"/>
    <w:rsid w:val="00274817"/>
    <w:rsid w:val="005967E5"/>
    <w:rsid w:val="00896CBD"/>
    <w:rsid w:val="00967291"/>
    <w:rsid w:val="00F741E6"/>
    <w:rsid w:val="0CE60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1516"/>
  <w15:chartTrackingRefBased/>
  <w15:docId w15:val="{9B29ED1D-C237-4047-9274-1B3348BB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paragraph" w:customStyle="1" w:styleId="Headinglevel1">
    <w:name w:val="Heading level 1"/>
    <w:basedOn w:val="Normal"/>
    <w:qFormat/>
    <w:pPr>
      <w:spacing w:after="240"/>
      <w:outlineLvl w:val="0"/>
    </w:pPr>
    <w:rPr>
      <w:rFonts w:eastAsia="Times New Roman" w:cs="Times New Roman"/>
      <w:b/>
      <w:color w:val="003399"/>
      <w:sz w:val="24"/>
      <w:szCs w:val="28"/>
      <w:lang w:eastAsia="en-GB"/>
    </w:rPr>
  </w:style>
  <w:style w:type="paragraph" w:customStyle="1" w:styleId="Default">
    <w:name w:val="Default"/>
    <w:pPr>
      <w:autoSpaceDE w:val="0"/>
      <w:autoSpaceDN w:val="0"/>
      <w:adjustRightInd w:val="0"/>
    </w:pPr>
    <w:rPr>
      <w:rFonts w:ascii="Arial" w:eastAsiaTheme="minorEastAsia" w:hAnsi="Arial" w:cs="Arial"/>
      <w:color w:val="000000"/>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eastAsiaTheme="minorEastAsia"/>
      <w:sz w:val="20"/>
      <w:szCs w:val="20"/>
      <w:lang w:eastAsia="en-GB"/>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paragraph" w:styleId="ListParagraph">
    <w:name w:val="List Paragraph"/>
    <w:basedOn w:val="Normal"/>
    <w:link w:val="ListParagraphChar"/>
    <w:uiPriority w:val="1"/>
    <w:qFormat/>
    <w:pPr>
      <w:spacing w:after="200" w:line="276" w:lineRule="auto"/>
      <w:ind w:left="720"/>
      <w:contextualSpacing/>
    </w:pPr>
    <w:rPr>
      <w:rFonts w:eastAsiaTheme="minorEastAsia"/>
      <w:szCs w:val="22"/>
      <w:lang w:eastAsia="en-GB"/>
    </w:rPr>
  </w:style>
  <w:style w:type="paragraph" w:styleId="Footer">
    <w:name w:val="footer"/>
    <w:basedOn w:val="Normal"/>
    <w:link w:val="FooterChar"/>
    <w:uiPriority w:val="99"/>
    <w:unhideWhenUsed/>
    <w:pPr>
      <w:tabs>
        <w:tab w:val="center" w:pos="4513"/>
        <w:tab w:val="right" w:pos="9026"/>
      </w:tabs>
    </w:pPr>
    <w:rPr>
      <w:rFonts w:eastAsiaTheme="minorEastAsia"/>
      <w:szCs w:val="22"/>
      <w:lang w:eastAsia="en-GB"/>
    </w:rPr>
  </w:style>
  <w:style w:type="character" w:customStyle="1" w:styleId="FooterChar">
    <w:name w:val="Footer Char"/>
    <w:basedOn w:val="DefaultParagraphFont"/>
    <w:link w:val="Footer"/>
    <w:uiPriority w:val="99"/>
    <w:rPr>
      <w:rFonts w:eastAsiaTheme="minorEastAsia"/>
      <w:sz w:val="22"/>
      <w:szCs w:val="22"/>
      <w:lang w:eastAsia="en-GB"/>
    </w:rPr>
  </w:style>
  <w:style w:type="paragraph" w:styleId="CommentSubject">
    <w:name w:val="annotation subject"/>
    <w:basedOn w:val="CommentText"/>
    <w:next w:val="CommentText"/>
    <w:link w:val="CommentSubjectChar"/>
    <w:uiPriority w:val="99"/>
    <w:semiHidden/>
    <w:unhideWhenUsed/>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GB"/>
    </w:rPr>
  </w:style>
  <w:style w:type="table" w:styleId="TableGrid">
    <w:name w:val="Table Grid"/>
    <w:basedOn w:val="TableNormal"/>
    <w:uiPriority w:val="59"/>
    <w:rPr>
      <w:rFonts w:eastAsiaTheme="minorEastAsia"/>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Rockwell" w:hAnsi="Rockwell"/>
      <w:sz w:val="22"/>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ListParagraphChar">
    <w:name w:val="List Paragraph Char"/>
    <w:basedOn w:val="DefaultParagraphFont"/>
    <w:link w:val="ListParagraph"/>
    <w:uiPriority w:val="1"/>
    <w:locked/>
    <w:rPr>
      <w:rFonts w:ascii="Tahoma" w:eastAsiaTheme="minorEastAsia" w:hAnsi="Tahoma"/>
      <w:sz w:val="22"/>
      <w:szCs w:val="22"/>
      <w:lang w:eastAsia="en-GB"/>
    </w:rPr>
  </w:style>
  <w:style w:type="paragraph" w:customStyle="1" w:styleId="TextBox">
    <w:name w:val="TextBox"/>
    <w:basedOn w:val="Normal"/>
    <w:link w:val="TextBoxChar"/>
    <w:qFormat/>
    <w:pPr>
      <w:spacing w:after="120" w:line="288" w:lineRule="auto"/>
    </w:pPr>
    <w:rPr>
      <w:rFonts w:eastAsia="Times New Roman" w:cs="Times New Roman"/>
      <w:b/>
      <w:sz w:val="24"/>
      <w:lang w:eastAsia="en-GB"/>
    </w:rPr>
  </w:style>
  <w:style w:type="character" w:customStyle="1" w:styleId="TextBoxChar">
    <w:name w:val="TextBox Char"/>
    <w:link w:val="TextBox"/>
    <w:rPr>
      <w:rFonts w:ascii="Tahoma" w:eastAsia="Times New Roman" w:hAnsi="Tahoma" w:cs="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5761">
      <w:bodyDiv w:val="1"/>
      <w:marLeft w:val="0"/>
      <w:marRight w:val="0"/>
      <w:marTop w:val="0"/>
      <w:marBottom w:val="0"/>
      <w:divBdr>
        <w:top w:val="none" w:sz="0" w:space="0" w:color="auto"/>
        <w:left w:val="none" w:sz="0" w:space="0" w:color="auto"/>
        <w:bottom w:val="none" w:sz="0" w:space="0" w:color="auto"/>
        <w:right w:val="none" w:sz="0" w:space="0" w:color="auto"/>
      </w:divBdr>
      <w:divsChild>
        <w:div w:id="2044861843">
          <w:marLeft w:val="0"/>
          <w:marRight w:val="0"/>
          <w:marTop w:val="0"/>
          <w:marBottom w:val="0"/>
          <w:divBdr>
            <w:top w:val="none" w:sz="0" w:space="0" w:color="auto"/>
            <w:left w:val="none" w:sz="0" w:space="0" w:color="auto"/>
            <w:bottom w:val="none" w:sz="0" w:space="0" w:color="auto"/>
            <w:right w:val="none" w:sz="0" w:space="0" w:color="auto"/>
          </w:divBdr>
          <w:divsChild>
            <w:div w:id="625889559">
              <w:marLeft w:val="0"/>
              <w:marRight w:val="0"/>
              <w:marTop w:val="0"/>
              <w:marBottom w:val="0"/>
              <w:divBdr>
                <w:top w:val="none" w:sz="0" w:space="0" w:color="auto"/>
                <w:left w:val="none" w:sz="0" w:space="0" w:color="auto"/>
                <w:bottom w:val="none" w:sz="0" w:space="0" w:color="auto"/>
                <w:right w:val="none" w:sz="0" w:space="0" w:color="auto"/>
              </w:divBdr>
              <w:divsChild>
                <w:div w:id="1057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29265">
      <w:bodyDiv w:val="1"/>
      <w:marLeft w:val="0"/>
      <w:marRight w:val="0"/>
      <w:marTop w:val="0"/>
      <w:marBottom w:val="0"/>
      <w:divBdr>
        <w:top w:val="none" w:sz="0" w:space="0" w:color="auto"/>
        <w:left w:val="none" w:sz="0" w:space="0" w:color="auto"/>
        <w:bottom w:val="none" w:sz="0" w:space="0" w:color="auto"/>
        <w:right w:val="none" w:sz="0" w:space="0" w:color="auto"/>
      </w:divBdr>
      <w:divsChild>
        <w:div w:id="592055397">
          <w:marLeft w:val="0"/>
          <w:marRight w:val="0"/>
          <w:marTop w:val="0"/>
          <w:marBottom w:val="0"/>
          <w:divBdr>
            <w:top w:val="none" w:sz="0" w:space="0" w:color="auto"/>
            <w:left w:val="none" w:sz="0" w:space="0" w:color="auto"/>
            <w:bottom w:val="none" w:sz="0" w:space="0" w:color="auto"/>
            <w:right w:val="none" w:sz="0" w:space="0" w:color="auto"/>
          </w:divBdr>
          <w:divsChild>
            <w:div w:id="227034972">
              <w:marLeft w:val="0"/>
              <w:marRight w:val="0"/>
              <w:marTop w:val="0"/>
              <w:marBottom w:val="0"/>
              <w:divBdr>
                <w:top w:val="none" w:sz="0" w:space="0" w:color="auto"/>
                <w:left w:val="none" w:sz="0" w:space="0" w:color="auto"/>
                <w:bottom w:val="none" w:sz="0" w:space="0" w:color="auto"/>
                <w:right w:val="none" w:sz="0" w:space="0" w:color="auto"/>
              </w:divBdr>
              <w:divsChild>
                <w:div w:id="88784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1417">
      <w:bodyDiv w:val="1"/>
      <w:marLeft w:val="0"/>
      <w:marRight w:val="0"/>
      <w:marTop w:val="0"/>
      <w:marBottom w:val="0"/>
      <w:divBdr>
        <w:top w:val="none" w:sz="0" w:space="0" w:color="auto"/>
        <w:left w:val="none" w:sz="0" w:space="0" w:color="auto"/>
        <w:bottom w:val="none" w:sz="0" w:space="0" w:color="auto"/>
        <w:right w:val="none" w:sz="0" w:space="0" w:color="auto"/>
      </w:divBdr>
      <w:divsChild>
        <w:div w:id="143400909">
          <w:marLeft w:val="0"/>
          <w:marRight w:val="0"/>
          <w:marTop w:val="0"/>
          <w:marBottom w:val="0"/>
          <w:divBdr>
            <w:top w:val="none" w:sz="0" w:space="0" w:color="auto"/>
            <w:left w:val="none" w:sz="0" w:space="0" w:color="auto"/>
            <w:bottom w:val="none" w:sz="0" w:space="0" w:color="auto"/>
            <w:right w:val="none" w:sz="0" w:space="0" w:color="auto"/>
          </w:divBdr>
          <w:divsChild>
            <w:div w:id="1854607942">
              <w:marLeft w:val="0"/>
              <w:marRight w:val="0"/>
              <w:marTop w:val="0"/>
              <w:marBottom w:val="0"/>
              <w:divBdr>
                <w:top w:val="none" w:sz="0" w:space="0" w:color="auto"/>
                <w:left w:val="none" w:sz="0" w:space="0" w:color="auto"/>
                <w:bottom w:val="none" w:sz="0" w:space="0" w:color="auto"/>
                <w:right w:val="none" w:sz="0" w:space="0" w:color="auto"/>
              </w:divBdr>
              <w:divsChild>
                <w:div w:id="3715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74927">
      <w:bodyDiv w:val="1"/>
      <w:marLeft w:val="0"/>
      <w:marRight w:val="0"/>
      <w:marTop w:val="0"/>
      <w:marBottom w:val="0"/>
      <w:divBdr>
        <w:top w:val="none" w:sz="0" w:space="0" w:color="auto"/>
        <w:left w:val="none" w:sz="0" w:space="0" w:color="auto"/>
        <w:bottom w:val="none" w:sz="0" w:space="0" w:color="auto"/>
        <w:right w:val="none" w:sz="0" w:space="0" w:color="auto"/>
      </w:divBdr>
      <w:divsChild>
        <w:div w:id="495150062">
          <w:marLeft w:val="0"/>
          <w:marRight w:val="0"/>
          <w:marTop w:val="0"/>
          <w:marBottom w:val="0"/>
          <w:divBdr>
            <w:top w:val="none" w:sz="0" w:space="0" w:color="auto"/>
            <w:left w:val="none" w:sz="0" w:space="0" w:color="auto"/>
            <w:bottom w:val="none" w:sz="0" w:space="0" w:color="auto"/>
            <w:right w:val="none" w:sz="0" w:space="0" w:color="auto"/>
          </w:divBdr>
          <w:divsChild>
            <w:div w:id="90663083">
              <w:marLeft w:val="0"/>
              <w:marRight w:val="0"/>
              <w:marTop w:val="0"/>
              <w:marBottom w:val="0"/>
              <w:divBdr>
                <w:top w:val="none" w:sz="0" w:space="0" w:color="auto"/>
                <w:left w:val="none" w:sz="0" w:space="0" w:color="auto"/>
                <w:bottom w:val="none" w:sz="0" w:space="0" w:color="auto"/>
                <w:right w:val="none" w:sz="0" w:space="0" w:color="auto"/>
              </w:divBdr>
              <w:divsChild>
                <w:div w:id="119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45594">
      <w:bodyDiv w:val="1"/>
      <w:marLeft w:val="0"/>
      <w:marRight w:val="0"/>
      <w:marTop w:val="0"/>
      <w:marBottom w:val="0"/>
      <w:divBdr>
        <w:top w:val="none" w:sz="0" w:space="0" w:color="auto"/>
        <w:left w:val="none" w:sz="0" w:space="0" w:color="auto"/>
        <w:bottom w:val="none" w:sz="0" w:space="0" w:color="auto"/>
        <w:right w:val="none" w:sz="0" w:space="0" w:color="auto"/>
      </w:divBdr>
      <w:divsChild>
        <w:div w:id="2056999530">
          <w:marLeft w:val="0"/>
          <w:marRight w:val="0"/>
          <w:marTop w:val="0"/>
          <w:marBottom w:val="0"/>
          <w:divBdr>
            <w:top w:val="none" w:sz="0" w:space="0" w:color="auto"/>
            <w:left w:val="none" w:sz="0" w:space="0" w:color="auto"/>
            <w:bottom w:val="none" w:sz="0" w:space="0" w:color="auto"/>
            <w:right w:val="none" w:sz="0" w:space="0" w:color="auto"/>
          </w:divBdr>
          <w:divsChild>
            <w:div w:id="793866117">
              <w:marLeft w:val="0"/>
              <w:marRight w:val="0"/>
              <w:marTop w:val="0"/>
              <w:marBottom w:val="0"/>
              <w:divBdr>
                <w:top w:val="none" w:sz="0" w:space="0" w:color="auto"/>
                <w:left w:val="none" w:sz="0" w:space="0" w:color="auto"/>
                <w:bottom w:val="none" w:sz="0" w:space="0" w:color="auto"/>
                <w:right w:val="none" w:sz="0" w:space="0" w:color="auto"/>
              </w:divBdr>
              <w:divsChild>
                <w:div w:id="19995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0559">
      <w:bodyDiv w:val="1"/>
      <w:marLeft w:val="0"/>
      <w:marRight w:val="0"/>
      <w:marTop w:val="0"/>
      <w:marBottom w:val="0"/>
      <w:divBdr>
        <w:top w:val="none" w:sz="0" w:space="0" w:color="auto"/>
        <w:left w:val="none" w:sz="0" w:space="0" w:color="auto"/>
        <w:bottom w:val="none" w:sz="0" w:space="0" w:color="auto"/>
        <w:right w:val="none" w:sz="0" w:space="0" w:color="auto"/>
      </w:divBdr>
    </w:div>
    <w:div w:id="1304045166">
      <w:bodyDiv w:val="1"/>
      <w:marLeft w:val="0"/>
      <w:marRight w:val="0"/>
      <w:marTop w:val="0"/>
      <w:marBottom w:val="0"/>
      <w:divBdr>
        <w:top w:val="none" w:sz="0" w:space="0" w:color="auto"/>
        <w:left w:val="none" w:sz="0" w:space="0" w:color="auto"/>
        <w:bottom w:val="none" w:sz="0" w:space="0" w:color="auto"/>
        <w:right w:val="none" w:sz="0" w:space="0" w:color="auto"/>
      </w:divBdr>
      <w:divsChild>
        <w:div w:id="223641354">
          <w:marLeft w:val="0"/>
          <w:marRight w:val="0"/>
          <w:marTop w:val="0"/>
          <w:marBottom w:val="0"/>
          <w:divBdr>
            <w:top w:val="none" w:sz="0" w:space="0" w:color="auto"/>
            <w:left w:val="none" w:sz="0" w:space="0" w:color="auto"/>
            <w:bottom w:val="none" w:sz="0" w:space="0" w:color="auto"/>
            <w:right w:val="none" w:sz="0" w:space="0" w:color="auto"/>
          </w:divBdr>
          <w:divsChild>
            <w:div w:id="972253455">
              <w:marLeft w:val="0"/>
              <w:marRight w:val="0"/>
              <w:marTop w:val="0"/>
              <w:marBottom w:val="0"/>
              <w:divBdr>
                <w:top w:val="none" w:sz="0" w:space="0" w:color="auto"/>
                <w:left w:val="none" w:sz="0" w:space="0" w:color="auto"/>
                <w:bottom w:val="none" w:sz="0" w:space="0" w:color="auto"/>
                <w:right w:val="none" w:sz="0" w:space="0" w:color="auto"/>
              </w:divBdr>
              <w:divsChild>
                <w:div w:id="180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867105">
      <w:bodyDiv w:val="1"/>
      <w:marLeft w:val="0"/>
      <w:marRight w:val="0"/>
      <w:marTop w:val="0"/>
      <w:marBottom w:val="0"/>
      <w:divBdr>
        <w:top w:val="none" w:sz="0" w:space="0" w:color="auto"/>
        <w:left w:val="none" w:sz="0" w:space="0" w:color="auto"/>
        <w:bottom w:val="none" w:sz="0" w:space="0" w:color="auto"/>
        <w:right w:val="none" w:sz="0" w:space="0" w:color="auto"/>
      </w:divBdr>
      <w:divsChild>
        <w:div w:id="1997802179">
          <w:marLeft w:val="0"/>
          <w:marRight w:val="0"/>
          <w:marTop w:val="0"/>
          <w:marBottom w:val="0"/>
          <w:divBdr>
            <w:top w:val="none" w:sz="0" w:space="0" w:color="auto"/>
            <w:left w:val="none" w:sz="0" w:space="0" w:color="auto"/>
            <w:bottom w:val="none" w:sz="0" w:space="0" w:color="auto"/>
            <w:right w:val="none" w:sz="0" w:space="0" w:color="auto"/>
          </w:divBdr>
          <w:divsChild>
            <w:div w:id="437413471">
              <w:marLeft w:val="0"/>
              <w:marRight w:val="0"/>
              <w:marTop w:val="0"/>
              <w:marBottom w:val="0"/>
              <w:divBdr>
                <w:top w:val="none" w:sz="0" w:space="0" w:color="auto"/>
                <w:left w:val="none" w:sz="0" w:space="0" w:color="auto"/>
                <w:bottom w:val="none" w:sz="0" w:space="0" w:color="auto"/>
                <w:right w:val="none" w:sz="0" w:space="0" w:color="auto"/>
              </w:divBdr>
              <w:divsChild>
                <w:div w:id="15093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D9DD2C818734DA2A87D632E7E8858" ma:contentTypeVersion="16" ma:contentTypeDescription="Create a new document." ma:contentTypeScope="" ma:versionID="37ce267091324b60666bf3f78c4612b3">
  <xsd:schema xmlns:xsd="http://www.w3.org/2001/XMLSchema" xmlns:xs="http://www.w3.org/2001/XMLSchema" xmlns:p="http://schemas.microsoft.com/office/2006/metadata/properties" xmlns:ns2="7df1d18a-c671-4bd8-9e58-9c869a8e68ec" xmlns:ns3="7a6f8aa5-6464-4051-98b6-41096f7f9573" targetNamespace="http://schemas.microsoft.com/office/2006/metadata/properties" ma:root="true" ma:fieldsID="03d18079c1caaf3cba1b5813a057dda9" ns2:_="" ns3:_="">
    <xsd:import namespace="7df1d18a-c671-4bd8-9e58-9c869a8e68ec"/>
    <xsd:import namespace="7a6f8aa5-6464-4051-98b6-41096f7f95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d18a-c671-4bd8-9e58-9c869a8e6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f39a2c-7ee1-4bc3-873a-f84a6ad20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f8aa5-6464-4051-98b6-41096f7f95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4452556-9553-4cde-ab04-3b3a4f1c23e3}" ma:internalName="TaxCatchAll" ma:showField="CatchAllData" ma:web="7a6f8aa5-6464-4051-98b6-41096f7f9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f1d18a-c671-4bd8-9e58-9c869a8e68ec">
      <Terms xmlns="http://schemas.microsoft.com/office/infopath/2007/PartnerControls"/>
    </lcf76f155ced4ddcb4097134ff3c332f>
    <TaxCatchAll xmlns="7a6f8aa5-6464-4051-98b6-41096f7f9573" xsi:nil="true"/>
  </documentManagement>
</p:properties>
</file>

<file path=customXml/itemProps1.xml><?xml version="1.0" encoding="utf-8"?>
<ds:datastoreItem xmlns:ds="http://schemas.openxmlformats.org/officeDocument/2006/customXml" ds:itemID="{DCD19142-DFF3-483C-84D0-F9EE1E21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d18a-c671-4bd8-9e58-9c869a8e68ec"/>
    <ds:schemaRef ds:uri="7a6f8aa5-6464-4051-98b6-41096f7f9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54DB3-EE3A-429D-9C74-E79F8F4F0CC2}">
  <ds:schemaRefs>
    <ds:schemaRef ds:uri="http://schemas.microsoft.com/sharepoint/v3/contenttype/forms"/>
  </ds:schemaRefs>
</ds:datastoreItem>
</file>

<file path=customXml/itemProps3.xml><?xml version="1.0" encoding="utf-8"?>
<ds:datastoreItem xmlns:ds="http://schemas.openxmlformats.org/officeDocument/2006/customXml" ds:itemID="{A22CDEB8-45BA-40F1-8453-BB8F42078C03}">
  <ds:schemaRefs>
    <ds:schemaRef ds:uri="http://schemas.microsoft.com/office/2006/metadata/properties"/>
    <ds:schemaRef ds:uri="http://schemas.microsoft.com/office/2006/documentManagement/types"/>
    <ds:schemaRef ds:uri="http://www.w3.org/XML/1998/namespace"/>
    <ds:schemaRef ds:uri="http://purl.org/dc/dcmitype/"/>
    <ds:schemaRef ds:uri="b0124888-4ac7-4880-ae67-e3e509f9b4de"/>
    <ds:schemaRef ds:uri="http://schemas.microsoft.com/office/infopath/2007/PartnerControls"/>
    <ds:schemaRef ds:uri="http://purl.org/dc/terms/"/>
    <ds:schemaRef ds:uri="http://schemas.openxmlformats.org/package/2006/metadata/core-properties"/>
    <ds:schemaRef ds:uri="http://purl.org/dc/elements/1.1/"/>
    <ds:schemaRef ds:uri="7df1d18a-c671-4bd8-9e58-9c869a8e68ec"/>
    <ds:schemaRef ds:uri="7a6f8aa5-6464-4051-98b6-41096f7f957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Passmore</dc:creator>
  <cp:keywords/>
  <dc:description/>
  <cp:lastModifiedBy>Michelle Bishop</cp:lastModifiedBy>
  <cp:revision>2</cp:revision>
  <dcterms:created xsi:type="dcterms:W3CDTF">2024-07-01T10:42:00Z</dcterms:created>
  <dcterms:modified xsi:type="dcterms:W3CDTF">2024-07-01T10:42:00Z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0x010100317D9DD2C818734DA2A87D632E7E8858</vt:lpwstr>
  </property>
  <property fmtid="{D5CDD505-2E9C-101B-9397-08002B2CF9AE}" pid="3" name="MediaServiceImageTags">
    <vt:lpwstr/>
  </property>
</Properties>
</file>